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C5" w:rsidRPr="002E6B9E" w:rsidRDefault="00A614C5" w:rsidP="00A614C5">
      <w:pPr>
        <w:jc w:val="center"/>
        <w:rPr>
          <w:b/>
          <w:sz w:val="24"/>
          <w:szCs w:val="24"/>
        </w:rPr>
      </w:pPr>
      <w:r>
        <w:rPr>
          <w:b/>
          <w:sz w:val="24"/>
          <w:szCs w:val="24"/>
        </w:rPr>
        <w:t>Dru</w:t>
      </w:r>
      <w:r w:rsidRPr="002E6B9E">
        <w:rPr>
          <w:b/>
          <w:sz w:val="24"/>
          <w:szCs w:val="24"/>
        </w:rPr>
        <w:t>ckextrakt</w:t>
      </w:r>
      <w:r>
        <w:rPr>
          <w:b/>
          <w:sz w:val="24"/>
          <w:szCs w:val="24"/>
        </w:rPr>
        <w:t>io</w:t>
      </w:r>
      <w:r w:rsidRPr="002E6B9E">
        <w:rPr>
          <w:b/>
          <w:sz w:val="24"/>
          <w:szCs w:val="24"/>
        </w:rPr>
        <w:t>n von Textilpassivsammlern (TPS)</w:t>
      </w:r>
      <w:r>
        <w:rPr>
          <w:b/>
          <w:sz w:val="24"/>
          <w:szCs w:val="24"/>
        </w:rPr>
        <w:t xml:space="preserve"> zur Bestimmung lipophiler Schadstofffrachten</w:t>
      </w:r>
    </w:p>
    <w:p w:rsidR="00A614C5" w:rsidRPr="003516D9" w:rsidRDefault="00A614C5" w:rsidP="00A614C5">
      <w:pPr>
        <w:spacing w:after="0"/>
        <w:jc w:val="center"/>
        <w:rPr>
          <w:i/>
          <w:sz w:val="18"/>
          <w:szCs w:val="18"/>
        </w:rPr>
      </w:pPr>
      <w:r w:rsidRPr="003516D9">
        <w:rPr>
          <w:i/>
          <w:sz w:val="18"/>
          <w:szCs w:val="18"/>
        </w:rPr>
        <w:t>Franz Dietrich Oeste, gM-Ingenieurbüro, Tannenweg 2, D-35274 Kirchhain</w:t>
      </w:r>
    </w:p>
    <w:p w:rsidR="00A614C5" w:rsidRPr="003516D9" w:rsidRDefault="00A614C5" w:rsidP="00A614C5">
      <w:pPr>
        <w:spacing w:after="0"/>
        <w:jc w:val="center"/>
        <w:rPr>
          <w:i/>
          <w:sz w:val="18"/>
          <w:szCs w:val="18"/>
        </w:rPr>
      </w:pPr>
      <w:r w:rsidRPr="003516D9">
        <w:rPr>
          <w:i/>
          <w:sz w:val="18"/>
          <w:szCs w:val="18"/>
        </w:rPr>
        <w:t>Philippe Brandner, blp GeoServices gmbh, Kapuzinerstraße 84e, A-4020 Linz</w:t>
      </w:r>
    </w:p>
    <w:p w:rsidR="003516D9" w:rsidRPr="00EB306C" w:rsidRDefault="003516D9" w:rsidP="00A614C5">
      <w:pPr>
        <w:spacing w:before="120" w:after="100"/>
        <w:jc w:val="both"/>
        <w:rPr>
          <w:sz w:val="16"/>
          <w:szCs w:val="16"/>
        </w:rPr>
      </w:pPr>
    </w:p>
    <w:p w:rsidR="00A614C5" w:rsidRPr="003516D9" w:rsidRDefault="00A614C5" w:rsidP="00A614C5">
      <w:pPr>
        <w:spacing w:before="120" w:after="100"/>
        <w:jc w:val="both"/>
        <w:rPr>
          <w:sz w:val="18"/>
          <w:szCs w:val="18"/>
        </w:rPr>
      </w:pPr>
      <w:r w:rsidRPr="003516D9">
        <w:rPr>
          <w:sz w:val="18"/>
          <w:szCs w:val="18"/>
        </w:rPr>
        <w:t>Textilpassivsammler (TPS) werden zur Bestimmung von Schadstofffrachten in den Umweltkompartimenten Wasser und Luft eingesetzt. Der TPS besteht aus einem ca. 12 cm x 7 cm großen rechteckigen Lappen aus Aktivkohlefaser-Vlies. Auf einem fluiddurchlässigen zylindrischen Sieb angeordnet, verbleibt der TPS zur Aufnahme der lipophilen Stoffe einen Monat im Grundwasserstrom. Dann wird die aufgenommene Stofffracht extrahiert und der Extrakt analysiert.</w:t>
      </w:r>
    </w:p>
    <w:p w:rsidR="00A614C5" w:rsidRPr="003516D9" w:rsidRDefault="00A614C5" w:rsidP="00A614C5">
      <w:pPr>
        <w:spacing w:before="120" w:after="100"/>
        <w:jc w:val="both"/>
        <w:rPr>
          <w:sz w:val="18"/>
          <w:szCs w:val="18"/>
        </w:rPr>
      </w:pPr>
      <w:r w:rsidRPr="003516D9">
        <w:rPr>
          <w:sz w:val="18"/>
          <w:szCs w:val="18"/>
        </w:rPr>
        <w:t>Für die Bestimmung von leicht- bis mittelsiedenden Stoffen bis etwa 200 °C aus den Gruppen der Aliphaten und Aromaten sowie der Halogenkohlenwasserstoffe haben sich herkömmliche Extraktionsmethoden, wie sie z. B. in der DIN ISO 16703 für MKW und DIN 18287 für PAK beschrieben sind, bewährt. Die auf den TPS adsorbierten Hochsieder lassen sich damit jedoch nur unzureichend analysieren.</w:t>
      </w:r>
    </w:p>
    <w:p w:rsidR="00A614C5" w:rsidRPr="003516D9" w:rsidRDefault="00A614C5" w:rsidP="00A614C5">
      <w:pPr>
        <w:spacing w:after="100"/>
        <w:jc w:val="both"/>
        <w:rPr>
          <w:sz w:val="18"/>
          <w:szCs w:val="18"/>
        </w:rPr>
      </w:pPr>
      <w:r w:rsidRPr="003516D9">
        <w:rPr>
          <w:sz w:val="18"/>
          <w:szCs w:val="18"/>
        </w:rPr>
        <w:t xml:space="preserve">Verschiedene Untersuchungsrichtlinien, z. B. </w:t>
      </w:r>
      <w:r w:rsidRPr="003516D9">
        <w:rPr>
          <w:sz w:val="18"/>
          <w:szCs w:val="18"/>
          <w:vertAlign w:val="superscript"/>
        </w:rPr>
        <w:t>[1][3]</w:t>
      </w:r>
      <w:r w:rsidRPr="003516D9">
        <w:rPr>
          <w:sz w:val="18"/>
          <w:szCs w:val="18"/>
        </w:rPr>
        <w:t>, empfehlen zur Extraktion des Erdreiches zwecks Bestimmung lipophiler Hochsieder wie z. B. PAK oder C</w:t>
      </w:r>
      <w:r w:rsidRPr="003516D9">
        <w:rPr>
          <w:sz w:val="18"/>
          <w:szCs w:val="18"/>
          <w:vertAlign w:val="subscript"/>
        </w:rPr>
        <w:t>10</w:t>
      </w:r>
      <w:r w:rsidRPr="003516D9">
        <w:rPr>
          <w:sz w:val="18"/>
          <w:szCs w:val="18"/>
        </w:rPr>
        <w:t>-</w:t>
      </w:r>
      <w:r w:rsidRPr="003516D9">
        <w:rPr>
          <w:sz w:val="18"/>
          <w:szCs w:val="18"/>
          <w:vertAlign w:val="subscript"/>
        </w:rPr>
        <w:t xml:space="preserve"> </w:t>
      </w:r>
      <w:r w:rsidRPr="003516D9">
        <w:rPr>
          <w:sz w:val="18"/>
          <w:szCs w:val="18"/>
        </w:rPr>
        <w:t>bis</w:t>
      </w:r>
      <w:r w:rsidRPr="003516D9">
        <w:rPr>
          <w:sz w:val="18"/>
          <w:szCs w:val="18"/>
          <w:vertAlign w:val="subscript"/>
        </w:rPr>
        <w:t xml:space="preserve"> </w:t>
      </w:r>
      <w:r w:rsidRPr="003516D9">
        <w:rPr>
          <w:sz w:val="18"/>
          <w:szCs w:val="18"/>
        </w:rPr>
        <w:t>C</w:t>
      </w:r>
      <w:r w:rsidRPr="003516D9">
        <w:rPr>
          <w:sz w:val="18"/>
          <w:szCs w:val="18"/>
          <w:vertAlign w:val="subscript"/>
        </w:rPr>
        <w:t>40</w:t>
      </w:r>
      <w:r w:rsidRPr="003516D9">
        <w:rPr>
          <w:sz w:val="18"/>
          <w:szCs w:val="18"/>
        </w:rPr>
        <w:t xml:space="preserve">-MKW, Extraktionsmittel aus der polaren Lösungsmittelgruppe wie z. B. Aceton und Tetrahydrofuran und deren Gemische mit unpolaren Lösungsmitteln, wie z. B. Petrolether und n-Hexan. In der DIN ISO 16703 für MKW und 18287 für PAK sind diese Methoden beschrieben. Die polaren Extraktionsmittel bewirken die Entfernung adhärierenden Wassers aus dem Extraktionsgut. </w:t>
      </w:r>
    </w:p>
    <w:p w:rsidR="00A614C5" w:rsidRPr="003516D9" w:rsidRDefault="00A614C5" w:rsidP="00A614C5">
      <w:pPr>
        <w:spacing w:after="100"/>
        <w:jc w:val="both"/>
        <w:rPr>
          <w:sz w:val="18"/>
          <w:szCs w:val="18"/>
        </w:rPr>
      </w:pPr>
      <w:r w:rsidRPr="003516D9">
        <w:rPr>
          <w:sz w:val="18"/>
          <w:szCs w:val="18"/>
        </w:rPr>
        <w:t xml:space="preserve">Steinkohlenteerpeche, die überwiegend aus PAK bestehen, sind selbst in den lipophilen Extraktionsmitteln n-Hexan und Petrolether, die in den genannten DIN-ISO-Methoden genannt sind, nur zwischen 4 bis maximal 19 % löslich </w:t>
      </w:r>
      <w:r w:rsidRPr="003516D9">
        <w:rPr>
          <w:sz w:val="18"/>
          <w:szCs w:val="18"/>
          <w:vertAlign w:val="superscript"/>
        </w:rPr>
        <w:t>[2]</w:t>
      </w:r>
      <w:r w:rsidRPr="003516D9">
        <w:rPr>
          <w:sz w:val="18"/>
          <w:szCs w:val="18"/>
        </w:rPr>
        <w:t>. Von daher wird klar, warum die am lipophilen aromatischen TPS-Aktivkohle-Molekülgerüst fest adsorbierten PAK mit den üblichen Extraktionsmitteln unzureichend desorbieren.</w:t>
      </w:r>
    </w:p>
    <w:p w:rsidR="00A614C5" w:rsidRPr="003516D9" w:rsidRDefault="00A614C5" w:rsidP="00A614C5">
      <w:pPr>
        <w:spacing w:after="100"/>
        <w:jc w:val="both"/>
        <w:rPr>
          <w:sz w:val="18"/>
          <w:szCs w:val="18"/>
        </w:rPr>
      </w:pPr>
      <w:r w:rsidRPr="003516D9">
        <w:rPr>
          <w:sz w:val="18"/>
          <w:szCs w:val="18"/>
        </w:rPr>
        <w:t>Untersuchungen der GBA Gesellschaft für Bioanalytik mbH, Pinneberg, haben dies an dem Beispiel eines mit 20 µg/l mit PAK und 2400 µg/l mit C</w:t>
      </w:r>
      <w:r w:rsidRPr="003516D9">
        <w:rPr>
          <w:sz w:val="18"/>
          <w:szCs w:val="18"/>
          <w:vertAlign w:val="subscript"/>
        </w:rPr>
        <w:t>10</w:t>
      </w:r>
      <w:r w:rsidRPr="003516D9">
        <w:rPr>
          <w:sz w:val="18"/>
          <w:szCs w:val="18"/>
        </w:rPr>
        <w:t xml:space="preserve"> – C</w:t>
      </w:r>
      <w:r w:rsidRPr="003516D9">
        <w:rPr>
          <w:sz w:val="18"/>
          <w:szCs w:val="18"/>
          <w:vertAlign w:val="subscript"/>
        </w:rPr>
        <w:t>40</w:t>
      </w:r>
      <w:r w:rsidRPr="003516D9">
        <w:rPr>
          <w:sz w:val="18"/>
          <w:szCs w:val="18"/>
        </w:rPr>
        <w:t>-MKW belasteten grundwasserbeladenen TPS bestätigt. Adsorbierte PAK und MKW des vor der Extraktion im Exsikkator getrockneten TPS wurden mittels Ultraschall-Kaltextraktion mit n-Hexan gemäß DIN ISO 18287 in die gelöste n-Hexan-Phase überführt und deren PAK- und MKW-Gehalt anschließend mittels GC-MSD-Untersuchung bestimmt. In den n-Hexan-Extrakten ließen sich befriedigend nur MKW aus der Dieselölfraktion jedoch keine PAK nachweisen.</w:t>
      </w:r>
    </w:p>
    <w:p w:rsidR="00A614C5" w:rsidRPr="003516D9" w:rsidRDefault="00A614C5" w:rsidP="00A614C5">
      <w:pPr>
        <w:spacing w:after="100"/>
        <w:jc w:val="both"/>
        <w:rPr>
          <w:sz w:val="18"/>
          <w:szCs w:val="18"/>
        </w:rPr>
      </w:pPr>
      <w:r w:rsidRPr="003516D9">
        <w:rPr>
          <w:sz w:val="18"/>
          <w:szCs w:val="18"/>
        </w:rPr>
        <w:t xml:space="preserve">Um die TPS auch zur PAK-Frachtbestimmung einsetzen zu können, wurde nach Verbesserungsmöglichkeiten der PAK-Extraktion gesucht. Das Molekulargerüst der Aktivkohle besteht aus aromatischem Graphennetzwerk, daher sind Aromaten an der Aktivkohle besonders fest adsorbiert. Folglich sind Aromaten auch die wirksamsten Mittel, um Aromaten und übrige lipophile Hochsieder aus Aktivkohle zu desorbieren. </w:t>
      </w:r>
    </w:p>
    <w:p w:rsidR="00A614C5" w:rsidRPr="003516D9" w:rsidRDefault="00A614C5" w:rsidP="00A614C5">
      <w:pPr>
        <w:spacing w:after="100"/>
        <w:jc w:val="both"/>
        <w:rPr>
          <w:sz w:val="18"/>
          <w:szCs w:val="18"/>
        </w:rPr>
      </w:pPr>
      <w:r w:rsidRPr="003516D9">
        <w:rPr>
          <w:sz w:val="18"/>
          <w:szCs w:val="18"/>
        </w:rPr>
        <w:t xml:space="preserve">Dementsprechend sind auch PAK in Aromaten gut löslich. Das gilt besonders für Elektronendonor- oder Elektronenakzeptor-Aromaten, wie z. B. Chinolin, Pyridin und Nitrobenzol. Erst dann folgen die aromatischen KW, dicht gefolgt von Halogen-KW mit Donor- bzw. -Akzeptor-Tendenz. </w:t>
      </w:r>
    </w:p>
    <w:p w:rsidR="00A614C5" w:rsidRPr="003516D9" w:rsidRDefault="00A614C5" w:rsidP="00A614C5">
      <w:pPr>
        <w:spacing w:after="100"/>
        <w:jc w:val="both"/>
        <w:rPr>
          <w:sz w:val="18"/>
          <w:szCs w:val="18"/>
        </w:rPr>
      </w:pPr>
      <w:r w:rsidRPr="003516D9">
        <w:rPr>
          <w:sz w:val="18"/>
          <w:szCs w:val="18"/>
        </w:rPr>
        <w:t xml:space="preserve">Dementsprechend fällt die Löslichkeit von Steinkohlenteerpechen, die zu mehr als 90 % aus PAK bestehen, in der folgenden Reihenfolge ab </w:t>
      </w:r>
      <w:r w:rsidRPr="003516D9">
        <w:rPr>
          <w:sz w:val="18"/>
          <w:szCs w:val="18"/>
          <w:vertAlign w:val="superscript"/>
        </w:rPr>
        <w:t>[2]</w:t>
      </w:r>
      <w:r w:rsidRPr="003516D9">
        <w:rPr>
          <w:sz w:val="18"/>
          <w:szCs w:val="18"/>
        </w:rPr>
        <w:t>:</w:t>
      </w:r>
    </w:p>
    <w:p w:rsidR="00A614C5" w:rsidRPr="0000031D" w:rsidRDefault="00A614C5" w:rsidP="0000031D">
      <w:pPr>
        <w:spacing w:after="100"/>
        <w:jc w:val="center"/>
        <w:rPr>
          <w:sz w:val="18"/>
          <w:szCs w:val="18"/>
          <w:lang w:val="en-US"/>
        </w:rPr>
      </w:pPr>
      <w:bookmarkStart w:id="0" w:name="_GoBack"/>
      <w:r w:rsidRPr="0000031D">
        <w:rPr>
          <w:b/>
          <w:sz w:val="18"/>
          <w:szCs w:val="18"/>
          <w:lang w:val="en-US"/>
        </w:rPr>
        <w:t>Chinolin &gt;Nitrobenzol &gt;Pyridin &gt;&gt;Toluol &gt;Chloroform &gt;Benzol &gt;&gt;Aceton &gt;n-Hexan &gt;Methanol &gt;Petrolether</w:t>
      </w:r>
    </w:p>
    <w:bookmarkEnd w:id="0"/>
    <w:p w:rsidR="00A614C5" w:rsidRPr="003516D9" w:rsidRDefault="00A614C5" w:rsidP="00A614C5">
      <w:pPr>
        <w:spacing w:after="100"/>
        <w:jc w:val="both"/>
        <w:rPr>
          <w:sz w:val="18"/>
          <w:szCs w:val="18"/>
        </w:rPr>
      </w:pPr>
      <w:r w:rsidRPr="003516D9">
        <w:rPr>
          <w:sz w:val="18"/>
          <w:szCs w:val="18"/>
        </w:rPr>
        <w:t>Auf Grund ihrer Toxizität oder Umweltproblematik sind aber die besonders wirksamen der genannten PAK-Lösungsmittel für den Einsatz im Untersuchungslabor ungeeignet. Umgang mit Halogenkohlenwasserstoff-Extraktionsmitteln ist aus Gründen des CKW-Kontaminationsproblems in Untersuchungslaboren nicht möglich. Deshalb blieb auch Chloroform für die Untersuchungen  unberücksichtigt und es wurde Toluol als TPS-Extraktionsmittel ausgewählt.</w:t>
      </w:r>
    </w:p>
    <w:p w:rsidR="00A614C5" w:rsidRPr="003516D9" w:rsidRDefault="00A614C5" w:rsidP="00A614C5">
      <w:pPr>
        <w:spacing w:after="100"/>
        <w:jc w:val="both"/>
        <w:rPr>
          <w:sz w:val="18"/>
          <w:szCs w:val="18"/>
        </w:rPr>
      </w:pPr>
      <w:r w:rsidRPr="003516D9">
        <w:rPr>
          <w:sz w:val="18"/>
          <w:szCs w:val="18"/>
        </w:rPr>
        <w:t>Die Extraktions- bzw. Desorptionswirkung nimmt generell mit der Temperatur zu. Herkömmliche Heißextraktionsmethoden der TPS unter Anwendung von Toluol nach Soxhlet mit offenem Kühler ergeben jedoch fehlerhafte Resultate, weil sich die der oxidationskatalytische Eigenschaft der Aktivkohle durch Anreicherung des Extrakts mit störenden Oxidationsprodukten des Toluols bemerkbar macht.</w:t>
      </w:r>
    </w:p>
    <w:p w:rsidR="00A614C5" w:rsidRPr="003516D9" w:rsidRDefault="00A614C5" w:rsidP="00A614C5">
      <w:pPr>
        <w:spacing w:after="100"/>
        <w:jc w:val="both"/>
        <w:rPr>
          <w:sz w:val="18"/>
          <w:szCs w:val="18"/>
        </w:rPr>
      </w:pPr>
      <w:r w:rsidRPr="003516D9">
        <w:rPr>
          <w:sz w:val="18"/>
          <w:szCs w:val="18"/>
        </w:rPr>
        <w:t xml:space="preserve">Durch Heißextraktion mit Toluol im geschlossenen System sind daher die bisher besten Extraktionsergebnisse erzielt worden. Mit dem Druckextraktionsverfahren lassen sich zudem Extraktionstemperaturen realisieren, die </w:t>
      </w:r>
      <w:r w:rsidRPr="003516D9">
        <w:rPr>
          <w:sz w:val="18"/>
          <w:szCs w:val="18"/>
        </w:rPr>
        <w:lastRenderedPageBreak/>
        <w:t xml:space="preserve">oberhalb des Lösungsmittelsiedepunktes liegen. Aus Aktivkohlefaserpassivsammlern, die zuvor durch Kontakt mit PAK-belasteter Umgebungsluft mit PAK beladen worden waren, konnten durch Toluol-Druckextraktion bei 150 °C befriedigende bis ausreichende Extraktionsergebnisse für 2- bis 5-Ring-PAK erzielt werden </w:t>
      </w:r>
      <w:r w:rsidRPr="003516D9">
        <w:rPr>
          <w:sz w:val="18"/>
          <w:szCs w:val="18"/>
          <w:vertAlign w:val="superscript"/>
        </w:rPr>
        <w:t>[4]</w:t>
      </w:r>
      <w:r w:rsidRPr="003516D9">
        <w:rPr>
          <w:sz w:val="18"/>
          <w:szCs w:val="18"/>
        </w:rPr>
        <w:t xml:space="preserve">. </w:t>
      </w:r>
    </w:p>
    <w:p w:rsidR="00A614C5" w:rsidRPr="003516D9" w:rsidRDefault="00A614C5" w:rsidP="00A614C5">
      <w:pPr>
        <w:spacing w:after="100"/>
        <w:jc w:val="both"/>
        <w:rPr>
          <w:sz w:val="18"/>
          <w:szCs w:val="18"/>
        </w:rPr>
      </w:pPr>
      <w:r w:rsidRPr="003516D9">
        <w:rPr>
          <w:sz w:val="18"/>
          <w:szCs w:val="18"/>
        </w:rPr>
        <w:t>Durch mechanisches Entfernen des adhärierenden Wassers aus dem TPS, z. B. durch Abtupfen mit Zellstoff und Trocknen im Exsikkator, vorzugsweise unter Inertgas, kann die Zumischung hydrophiler Lösungsmittel zum Extraktionsmittel ganz entfallen.</w:t>
      </w:r>
    </w:p>
    <w:p w:rsidR="00A614C5" w:rsidRPr="003516D9" w:rsidRDefault="00A614C5" w:rsidP="00A614C5">
      <w:pPr>
        <w:spacing w:after="100"/>
        <w:jc w:val="both"/>
        <w:rPr>
          <w:sz w:val="18"/>
          <w:szCs w:val="18"/>
        </w:rPr>
      </w:pPr>
      <w:r w:rsidRPr="003516D9">
        <w:rPr>
          <w:sz w:val="18"/>
          <w:szCs w:val="18"/>
        </w:rPr>
        <w:t>Auf dieser Erkenntnisgrundlage wurden TPS, die zuvor aus n-Hexanlösung mit PAK aus der Gruppe der 16 EPA-PAK als deuterierte PAK beladen worden waren, ebenfalls einer Toluoldruckextraktion bei 150 °C unterworfen. Danach wurde durch Bestimmung der PAK-Gehalte im Extrakt die Wiederfindungsrate für die einzelnen PAK durch GC-MSD bestimmt.</w:t>
      </w:r>
    </w:p>
    <w:p w:rsidR="00A614C5" w:rsidRPr="003516D9" w:rsidRDefault="00A614C5" w:rsidP="00A614C5">
      <w:pPr>
        <w:spacing w:after="100"/>
        <w:jc w:val="both"/>
        <w:rPr>
          <w:sz w:val="18"/>
          <w:szCs w:val="18"/>
        </w:rPr>
      </w:pPr>
      <w:r w:rsidRPr="003516D9">
        <w:rPr>
          <w:sz w:val="18"/>
          <w:szCs w:val="18"/>
        </w:rPr>
        <w:t>Die Ergebnisse der PAK-Extraktion der TPS nach ihrer Beladung mit PAK aus n-Hexan-Lösung und aus wässriger Lösung sind in der Tabelle 1 zusammengestellt. Die Ergebnisse zeigen, dass sich zumindest die Zwei-, Drei- und Vierring-PAK in ausreichendem Anteil durch Toluoldruckextraktion aus den TPS extrahieren lassen, um auf ihren Gehalt in den TPS hinreichend genau schließen zu können.</w:t>
      </w:r>
    </w:p>
    <w:p w:rsidR="003516D9" w:rsidRDefault="003516D9" w:rsidP="00A614C5">
      <w:pPr>
        <w:pStyle w:val="Beschriftung"/>
        <w:rPr>
          <w:color w:val="auto"/>
        </w:rPr>
      </w:pPr>
    </w:p>
    <w:p w:rsidR="00A614C5" w:rsidRPr="003516D9" w:rsidRDefault="00A614C5" w:rsidP="00A614C5">
      <w:pPr>
        <w:pStyle w:val="Beschriftung"/>
        <w:rPr>
          <w:color w:val="auto"/>
        </w:rPr>
      </w:pPr>
      <w:r w:rsidRPr="003516D9">
        <w:rPr>
          <w:color w:val="auto"/>
        </w:rPr>
        <w:t xml:space="preserve">Tabelle </w:t>
      </w:r>
      <w:r w:rsidRPr="003516D9">
        <w:rPr>
          <w:color w:val="auto"/>
        </w:rPr>
        <w:fldChar w:fldCharType="begin"/>
      </w:r>
      <w:r w:rsidRPr="003516D9">
        <w:rPr>
          <w:color w:val="auto"/>
        </w:rPr>
        <w:instrText xml:space="preserve"> SEQ Tabelle \* ARABIC </w:instrText>
      </w:r>
      <w:r w:rsidRPr="003516D9">
        <w:rPr>
          <w:color w:val="auto"/>
        </w:rPr>
        <w:fldChar w:fldCharType="separate"/>
      </w:r>
      <w:r w:rsidR="0000031D">
        <w:rPr>
          <w:noProof/>
          <w:color w:val="auto"/>
        </w:rPr>
        <w:t>1</w:t>
      </w:r>
      <w:r w:rsidRPr="003516D9">
        <w:rPr>
          <w:color w:val="auto"/>
        </w:rPr>
        <w:fldChar w:fldCharType="end"/>
      </w:r>
      <w:r w:rsidRPr="003516D9">
        <w:rPr>
          <w:noProof/>
          <w:color w:val="auto"/>
        </w:rPr>
        <w:t>: PAK-Wiederfindung im bei 150 °C gewonnenen Toluol-Druckextrakt aus PAK-beladenen TPS</w:t>
      </w:r>
    </w:p>
    <w:tbl>
      <w:tblPr>
        <w:tblW w:w="9019" w:type="dxa"/>
        <w:tblInd w:w="55" w:type="dxa"/>
        <w:tblCellMar>
          <w:left w:w="70" w:type="dxa"/>
          <w:right w:w="70" w:type="dxa"/>
        </w:tblCellMar>
        <w:tblLook w:val="04A0" w:firstRow="1" w:lastRow="0" w:firstColumn="1" w:lastColumn="0" w:noHBand="0" w:noVBand="1"/>
      </w:tblPr>
      <w:tblGrid>
        <w:gridCol w:w="1858"/>
        <w:gridCol w:w="1134"/>
        <w:gridCol w:w="709"/>
        <w:gridCol w:w="1559"/>
        <w:gridCol w:w="1559"/>
        <w:gridCol w:w="1134"/>
        <w:gridCol w:w="1066"/>
      </w:tblGrid>
      <w:tr w:rsidR="00A614C5" w:rsidRPr="00501D33" w:rsidTr="001C07B9">
        <w:trPr>
          <w:trHeight w:val="315"/>
        </w:trPr>
        <w:tc>
          <w:tcPr>
            <w:tcW w:w="1858" w:type="dxa"/>
            <w:tcBorders>
              <w:top w:val="single" w:sz="8" w:space="0" w:color="auto"/>
              <w:left w:val="single" w:sz="8" w:space="0" w:color="auto"/>
              <w:bottom w:val="nil"/>
              <w:right w:val="nil"/>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PAK (EPA)</w:t>
            </w:r>
          </w:p>
        </w:tc>
        <w:tc>
          <w:tcPr>
            <w:tcW w:w="1134" w:type="dxa"/>
            <w:tcBorders>
              <w:top w:val="single" w:sz="8" w:space="0" w:color="auto"/>
              <w:left w:val="single" w:sz="8" w:space="0" w:color="auto"/>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Anzahl</w:t>
            </w:r>
          </w:p>
        </w:tc>
        <w:tc>
          <w:tcPr>
            <w:tcW w:w="709" w:type="dxa"/>
            <w:tcBorders>
              <w:top w:val="single" w:sz="8" w:space="0" w:color="auto"/>
              <w:left w:val="nil"/>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Siede</w:t>
            </w:r>
            <w:r w:rsidRPr="001C5338">
              <w:rPr>
                <w:rFonts w:eastAsia="Times New Roman" w:cs="Arial"/>
                <w:b/>
                <w:bCs/>
                <w:color w:val="000000"/>
                <w:sz w:val="18"/>
                <w:szCs w:val="18"/>
                <w:lang w:val="de-AT" w:eastAsia="de-AT"/>
              </w:rPr>
              <w:t>-</w:t>
            </w:r>
          </w:p>
        </w:tc>
        <w:tc>
          <w:tcPr>
            <w:tcW w:w="5318" w:type="dxa"/>
            <w:gridSpan w:val="4"/>
            <w:tcBorders>
              <w:top w:val="single" w:sz="8" w:space="0" w:color="auto"/>
              <w:left w:val="nil"/>
              <w:bottom w:val="single" w:sz="8" w:space="0" w:color="auto"/>
              <w:right w:val="single" w:sz="8" w:space="0" w:color="000000"/>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Wiederfindungsrate, %</w:t>
            </w:r>
          </w:p>
        </w:tc>
      </w:tr>
      <w:tr w:rsidR="00A614C5" w:rsidRPr="001C5338" w:rsidTr="001C07B9">
        <w:trPr>
          <w:trHeight w:val="315"/>
        </w:trPr>
        <w:tc>
          <w:tcPr>
            <w:tcW w:w="1858" w:type="dxa"/>
            <w:tcBorders>
              <w:top w:val="nil"/>
              <w:left w:val="single" w:sz="8" w:space="0" w:color="auto"/>
              <w:bottom w:val="nil"/>
              <w:right w:val="nil"/>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w:t>
            </w:r>
          </w:p>
        </w:tc>
        <w:tc>
          <w:tcPr>
            <w:tcW w:w="1134" w:type="dxa"/>
            <w:tcBorders>
              <w:top w:val="nil"/>
              <w:left w:val="single" w:sz="8" w:space="0" w:color="auto"/>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annellierter</w:t>
            </w:r>
          </w:p>
        </w:tc>
        <w:tc>
          <w:tcPr>
            <w:tcW w:w="709" w:type="dxa"/>
            <w:tcBorders>
              <w:top w:val="nil"/>
              <w:left w:val="nil"/>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punkt</w:t>
            </w:r>
          </w:p>
        </w:tc>
        <w:tc>
          <w:tcPr>
            <w:tcW w:w="3118" w:type="dxa"/>
            <w:gridSpan w:val="2"/>
            <w:tcBorders>
              <w:top w:val="single" w:sz="8" w:space="0" w:color="auto"/>
              <w:left w:val="nil"/>
              <w:bottom w:val="single" w:sz="8" w:space="0" w:color="auto"/>
              <w:right w:val="single" w:sz="8" w:space="0" w:color="000000"/>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PAK-Dotierung</w:t>
            </w:r>
            <w:r w:rsidRPr="00501D33">
              <w:rPr>
                <w:rFonts w:eastAsia="Times New Roman" w:cs="Arial"/>
                <w:b/>
                <w:bCs/>
                <w:color w:val="000000"/>
                <w:sz w:val="18"/>
                <w:szCs w:val="18"/>
                <w:vertAlign w:val="superscript"/>
                <w:lang w:val="de-AT" w:eastAsia="de-AT"/>
              </w:rPr>
              <w:t>A)</w:t>
            </w:r>
          </w:p>
        </w:tc>
        <w:tc>
          <w:tcPr>
            <w:tcW w:w="2200" w:type="dxa"/>
            <w:gridSpan w:val="2"/>
            <w:tcBorders>
              <w:top w:val="single" w:sz="8" w:space="0" w:color="auto"/>
              <w:left w:val="nil"/>
              <w:bottom w:val="single" w:sz="8" w:space="0" w:color="auto"/>
              <w:right w:val="single" w:sz="8" w:space="0" w:color="000000"/>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PAK-Dotierung</w:t>
            </w:r>
            <w:r w:rsidRPr="00501D33">
              <w:rPr>
                <w:rFonts w:eastAsia="Times New Roman" w:cs="Arial"/>
                <w:b/>
                <w:bCs/>
                <w:color w:val="000000"/>
                <w:sz w:val="18"/>
                <w:szCs w:val="18"/>
                <w:vertAlign w:val="superscript"/>
                <w:lang w:val="de-AT" w:eastAsia="de-AT"/>
              </w:rPr>
              <w:t>B)</w:t>
            </w:r>
          </w:p>
        </w:tc>
      </w:tr>
      <w:tr w:rsidR="00A614C5" w:rsidRPr="00501D33" w:rsidTr="001C07B9">
        <w:trPr>
          <w:trHeight w:val="300"/>
        </w:trPr>
        <w:tc>
          <w:tcPr>
            <w:tcW w:w="1858" w:type="dxa"/>
            <w:tcBorders>
              <w:top w:val="nil"/>
              <w:left w:val="single" w:sz="8" w:space="0" w:color="auto"/>
              <w:bottom w:val="nil"/>
              <w:right w:val="nil"/>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w:t>
            </w:r>
          </w:p>
        </w:tc>
        <w:tc>
          <w:tcPr>
            <w:tcW w:w="1134" w:type="dxa"/>
            <w:tcBorders>
              <w:top w:val="nil"/>
              <w:left w:val="single" w:sz="8" w:space="0" w:color="auto"/>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Ringe</w:t>
            </w:r>
          </w:p>
        </w:tc>
        <w:tc>
          <w:tcPr>
            <w:tcW w:w="709" w:type="dxa"/>
            <w:tcBorders>
              <w:top w:val="nil"/>
              <w:left w:val="nil"/>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°C</w:t>
            </w:r>
          </w:p>
        </w:tc>
        <w:tc>
          <w:tcPr>
            <w:tcW w:w="5318" w:type="dxa"/>
            <w:gridSpan w:val="4"/>
            <w:tcBorders>
              <w:top w:val="single" w:sz="8" w:space="0" w:color="auto"/>
              <w:left w:val="nil"/>
              <w:bottom w:val="nil"/>
              <w:right w:val="single" w:sz="8" w:space="0" w:color="000000"/>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Dotierung auf jeweils einem TPS</w:t>
            </w:r>
          </w:p>
        </w:tc>
      </w:tr>
      <w:tr w:rsidR="00A614C5" w:rsidRPr="001C5338" w:rsidTr="001C07B9">
        <w:trPr>
          <w:trHeight w:val="300"/>
        </w:trPr>
        <w:tc>
          <w:tcPr>
            <w:tcW w:w="1858" w:type="dxa"/>
            <w:tcBorders>
              <w:top w:val="nil"/>
              <w:left w:val="single" w:sz="8" w:space="0" w:color="auto"/>
              <w:bottom w:val="nil"/>
              <w:right w:val="nil"/>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w:t>
            </w:r>
          </w:p>
        </w:tc>
        <w:tc>
          <w:tcPr>
            <w:tcW w:w="1134" w:type="dxa"/>
            <w:tcBorders>
              <w:top w:val="nil"/>
              <w:left w:val="single" w:sz="8" w:space="0" w:color="auto"/>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w:t>
            </w:r>
          </w:p>
        </w:tc>
        <w:tc>
          <w:tcPr>
            <w:tcW w:w="709" w:type="dxa"/>
            <w:tcBorders>
              <w:top w:val="nil"/>
              <w:left w:val="nil"/>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w:t>
            </w:r>
          </w:p>
        </w:tc>
        <w:tc>
          <w:tcPr>
            <w:tcW w:w="1559" w:type="dxa"/>
            <w:tcBorders>
              <w:top w:val="nil"/>
              <w:left w:val="nil"/>
              <w:bottom w:val="nil"/>
              <w:right w:val="single" w:sz="4"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5 µg absolut</w:t>
            </w:r>
            <w:r w:rsidRPr="00501D33">
              <w:rPr>
                <w:rFonts w:eastAsia="Times New Roman" w:cs="Arial"/>
                <w:b/>
                <w:bCs/>
                <w:color w:val="000000"/>
                <w:sz w:val="18"/>
                <w:szCs w:val="18"/>
                <w:vertAlign w:val="superscript"/>
                <w:lang w:val="de-AT" w:eastAsia="de-AT"/>
              </w:rPr>
              <w:t>1)</w:t>
            </w:r>
          </w:p>
        </w:tc>
        <w:tc>
          <w:tcPr>
            <w:tcW w:w="1559" w:type="dxa"/>
            <w:tcBorders>
              <w:top w:val="nil"/>
              <w:left w:val="nil"/>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10 µg absolut</w:t>
            </w:r>
            <w:r w:rsidRPr="00501D33">
              <w:rPr>
                <w:rFonts w:eastAsia="Times New Roman" w:cs="Arial"/>
                <w:b/>
                <w:bCs/>
                <w:color w:val="000000"/>
                <w:sz w:val="18"/>
                <w:szCs w:val="18"/>
                <w:vertAlign w:val="superscript"/>
                <w:lang w:val="de-AT" w:eastAsia="de-AT"/>
              </w:rPr>
              <w:t>1)</w:t>
            </w:r>
          </w:p>
        </w:tc>
        <w:tc>
          <w:tcPr>
            <w:tcW w:w="1134" w:type="dxa"/>
            <w:tcBorders>
              <w:top w:val="nil"/>
              <w:left w:val="nil"/>
              <w:bottom w:val="nil"/>
              <w:right w:val="single" w:sz="4"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125 µg</w:t>
            </w:r>
          </w:p>
        </w:tc>
        <w:tc>
          <w:tcPr>
            <w:tcW w:w="1066" w:type="dxa"/>
            <w:tcBorders>
              <w:top w:val="nil"/>
              <w:left w:val="nil"/>
              <w:bottom w:val="nil"/>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250 µg</w:t>
            </w:r>
          </w:p>
        </w:tc>
      </w:tr>
      <w:tr w:rsidR="00A614C5" w:rsidRPr="001C5338" w:rsidTr="001C07B9">
        <w:trPr>
          <w:trHeight w:val="315"/>
        </w:trPr>
        <w:tc>
          <w:tcPr>
            <w:tcW w:w="1858" w:type="dxa"/>
            <w:tcBorders>
              <w:top w:val="nil"/>
              <w:left w:val="single" w:sz="8" w:space="0" w:color="auto"/>
              <w:bottom w:val="single" w:sz="8" w:space="0" w:color="auto"/>
              <w:right w:val="nil"/>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w:t>
            </w:r>
          </w:p>
        </w:tc>
        <w:tc>
          <w:tcPr>
            <w:tcW w:w="1134" w:type="dxa"/>
            <w:tcBorders>
              <w:top w:val="nil"/>
              <w:left w:val="single" w:sz="8" w:space="0" w:color="auto"/>
              <w:bottom w:val="single" w:sz="8" w:space="0" w:color="auto"/>
              <w:right w:val="nil"/>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w:t>
            </w:r>
          </w:p>
        </w:tc>
        <w:tc>
          <w:tcPr>
            <w:tcW w:w="709" w:type="dxa"/>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w:t>
            </w:r>
          </w:p>
        </w:tc>
        <w:tc>
          <w:tcPr>
            <w:tcW w:w="1559"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 80 µg</w:t>
            </w:r>
          </w:p>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EPA-Mix</w:t>
            </w:r>
          </w:p>
        </w:tc>
        <w:tc>
          <w:tcPr>
            <w:tcW w:w="1559" w:type="dxa"/>
            <w:tcBorders>
              <w:top w:val="nil"/>
              <w:left w:val="nil"/>
              <w:bottom w:val="single" w:sz="8" w:space="0" w:color="auto"/>
              <w:right w:val="single" w:sz="8"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160 µg</w:t>
            </w:r>
          </w:p>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 xml:space="preserve"> EPA-Mix</w:t>
            </w:r>
          </w:p>
        </w:tc>
        <w:tc>
          <w:tcPr>
            <w:tcW w:w="1134"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EPA-Mix</w:t>
            </w:r>
          </w:p>
        </w:tc>
        <w:tc>
          <w:tcPr>
            <w:tcW w:w="1066" w:type="dxa"/>
            <w:tcBorders>
              <w:top w:val="nil"/>
              <w:left w:val="nil"/>
              <w:bottom w:val="single" w:sz="8" w:space="0" w:color="auto"/>
              <w:right w:val="single" w:sz="8" w:space="0" w:color="auto"/>
            </w:tcBorders>
            <w:shd w:val="clear" w:color="auto" w:fill="F2F2F2" w:themeFill="background1" w:themeFillShade="F2"/>
            <w:noWrap/>
            <w:vAlign w:val="bottom"/>
            <w:hideMark/>
          </w:tcPr>
          <w:p w:rsidR="00A614C5" w:rsidRPr="00501D33" w:rsidRDefault="00A614C5" w:rsidP="001C07B9">
            <w:pPr>
              <w:spacing w:after="0" w:line="240" w:lineRule="auto"/>
              <w:jc w:val="center"/>
              <w:rPr>
                <w:rFonts w:eastAsia="Times New Roman" w:cs="Arial"/>
                <w:b/>
                <w:bCs/>
                <w:color w:val="000000"/>
                <w:sz w:val="18"/>
                <w:szCs w:val="18"/>
                <w:lang w:val="de-AT" w:eastAsia="de-AT"/>
              </w:rPr>
            </w:pPr>
            <w:r w:rsidRPr="00501D33">
              <w:rPr>
                <w:rFonts w:eastAsia="Times New Roman" w:cs="Arial"/>
                <w:b/>
                <w:bCs/>
                <w:color w:val="000000"/>
                <w:sz w:val="18"/>
                <w:szCs w:val="18"/>
                <w:lang w:val="de-AT" w:eastAsia="de-AT"/>
              </w:rPr>
              <w:t>EPA-Mix</w:t>
            </w:r>
          </w:p>
        </w:tc>
      </w:tr>
      <w:tr w:rsidR="00A614C5" w:rsidRPr="001C5338" w:rsidTr="001C07B9">
        <w:trPr>
          <w:trHeight w:val="300"/>
        </w:trPr>
        <w:tc>
          <w:tcPr>
            <w:tcW w:w="1858" w:type="dxa"/>
            <w:tcBorders>
              <w:top w:val="nil"/>
              <w:left w:val="single" w:sz="8" w:space="0" w:color="auto"/>
              <w:bottom w:val="single" w:sz="4" w:space="0" w:color="auto"/>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Naphthalin</w:t>
            </w:r>
          </w:p>
        </w:tc>
        <w:tc>
          <w:tcPr>
            <w:tcW w:w="1134" w:type="dxa"/>
            <w:tcBorders>
              <w:top w:val="nil"/>
              <w:left w:val="single" w:sz="8" w:space="0" w:color="auto"/>
              <w:bottom w:val="single" w:sz="4" w:space="0" w:color="auto"/>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2</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218</w:t>
            </w:r>
          </w:p>
        </w:tc>
        <w:tc>
          <w:tcPr>
            <w:tcW w:w="1559" w:type="dxa"/>
            <w:tcBorders>
              <w:top w:val="nil"/>
              <w:left w:val="nil"/>
              <w:bottom w:val="single" w:sz="4"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112</w:t>
            </w:r>
          </w:p>
        </w:tc>
        <w:tc>
          <w:tcPr>
            <w:tcW w:w="1559" w:type="dxa"/>
            <w:tcBorders>
              <w:top w:val="nil"/>
              <w:left w:val="nil"/>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107</w:t>
            </w:r>
          </w:p>
        </w:tc>
        <w:tc>
          <w:tcPr>
            <w:tcW w:w="1134" w:type="dxa"/>
            <w:tcBorders>
              <w:top w:val="nil"/>
              <w:left w:val="nil"/>
              <w:bottom w:val="single" w:sz="4"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82</w:t>
            </w:r>
          </w:p>
        </w:tc>
        <w:tc>
          <w:tcPr>
            <w:tcW w:w="1066" w:type="dxa"/>
            <w:tcBorders>
              <w:top w:val="nil"/>
              <w:left w:val="nil"/>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95</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Acenaphthylen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280</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64</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73</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95</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84</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Acenaphthen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278</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93</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96</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7,4</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7,9</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Fluoren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295</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37</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55</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2,4</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1,6</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Phenanthren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340</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94</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100</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93</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97</w:t>
            </w:r>
          </w:p>
        </w:tc>
      </w:tr>
      <w:tr w:rsidR="00A614C5" w:rsidRPr="001C5338" w:rsidTr="001C07B9">
        <w:trPr>
          <w:trHeight w:val="300"/>
        </w:trPr>
        <w:tc>
          <w:tcPr>
            <w:tcW w:w="1858" w:type="dxa"/>
            <w:tcBorders>
              <w:top w:val="nil"/>
              <w:left w:val="single" w:sz="8" w:space="0" w:color="auto"/>
              <w:bottom w:val="single" w:sz="4" w:space="0" w:color="auto"/>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Anthracen</w:t>
            </w:r>
          </w:p>
        </w:tc>
        <w:tc>
          <w:tcPr>
            <w:tcW w:w="1134" w:type="dxa"/>
            <w:tcBorders>
              <w:top w:val="nil"/>
              <w:left w:val="single" w:sz="8" w:space="0" w:color="auto"/>
              <w:bottom w:val="single" w:sz="4" w:space="0" w:color="auto"/>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340</w:t>
            </w:r>
          </w:p>
        </w:tc>
        <w:tc>
          <w:tcPr>
            <w:tcW w:w="1559" w:type="dxa"/>
            <w:tcBorders>
              <w:top w:val="nil"/>
              <w:left w:val="nil"/>
              <w:bottom w:val="single" w:sz="4"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94</w:t>
            </w:r>
          </w:p>
        </w:tc>
        <w:tc>
          <w:tcPr>
            <w:tcW w:w="1559" w:type="dxa"/>
            <w:tcBorders>
              <w:top w:val="nil"/>
              <w:left w:val="nil"/>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97</w:t>
            </w:r>
          </w:p>
        </w:tc>
        <w:tc>
          <w:tcPr>
            <w:tcW w:w="1134" w:type="dxa"/>
            <w:tcBorders>
              <w:top w:val="nil"/>
              <w:left w:val="nil"/>
              <w:bottom w:val="single" w:sz="4"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79</w:t>
            </w:r>
          </w:p>
        </w:tc>
        <w:tc>
          <w:tcPr>
            <w:tcW w:w="1066" w:type="dxa"/>
            <w:tcBorders>
              <w:top w:val="nil"/>
              <w:left w:val="nil"/>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87</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Fluoranthen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375</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50</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53</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53</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61</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Pyren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404</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32</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36</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45</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53</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Benz(a)anthracen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437</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120</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66</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77</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103</w:t>
            </w:r>
          </w:p>
        </w:tc>
      </w:tr>
      <w:tr w:rsidR="00A614C5" w:rsidRPr="001C5338" w:rsidTr="001C07B9">
        <w:trPr>
          <w:trHeight w:val="300"/>
        </w:trPr>
        <w:tc>
          <w:tcPr>
            <w:tcW w:w="1858" w:type="dxa"/>
            <w:tcBorders>
              <w:top w:val="nil"/>
              <w:left w:val="single" w:sz="8" w:space="0" w:color="auto"/>
              <w:bottom w:val="single" w:sz="4" w:space="0" w:color="auto"/>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Chrysen</w:t>
            </w:r>
          </w:p>
        </w:tc>
        <w:tc>
          <w:tcPr>
            <w:tcW w:w="1134" w:type="dxa"/>
            <w:tcBorders>
              <w:top w:val="nil"/>
              <w:left w:val="single" w:sz="8" w:space="0" w:color="auto"/>
              <w:bottom w:val="single" w:sz="4" w:space="0" w:color="auto"/>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448</w:t>
            </w:r>
          </w:p>
        </w:tc>
        <w:tc>
          <w:tcPr>
            <w:tcW w:w="1559" w:type="dxa"/>
            <w:tcBorders>
              <w:top w:val="nil"/>
              <w:left w:val="nil"/>
              <w:bottom w:val="single" w:sz="4"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130</w:t>
            </w:r>
          </w:p>
        </w:tc>
        <w:tc>
          <w:tcPr>
            <w:tcW w:w="1559" w:type="dxa"/>
            <w:tcBorders>
              <w:top w:val="nil"/>
              <w:left w:val="nil"/>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70</w:t>
            </w:r>
          </w:p>
        </w:tc>
        <w:tc>
          <w:tcPr>
            <w:tcW w:w="1134" w:type="dxa"/>
            <w:tcBorders>
              <w:top w:val="nil"/>
              <w:left w:val="nil"/>
              <w:bottom w:val="single" w:sz="4"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83</w:t>
            </w:r>
          </w:p>
        </w:tc>
        <w:tc>
          <w:tcPr>
            <w:tcW w:w="1066" w:type="dxa"/>
            <w:tcBorders>
              <w:top w:val="nil"/>
              <w:left w:val="nil"/>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118</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Benzo(b)fluoranthen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481</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35</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46</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Benzo(k)fluoranthen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480</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35</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51</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Benzo(a)pyren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496</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27</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38</w:t>
            </w:r>
          </w:p>
        </w:tc>
      </w:tr>
      <w:tr w:rsidR="00A614C5" w:rsidRPr="001C5338" w:rsidTr="001C07B9">
        <w:trPr>
          <w:trHeight w:val="300"/>
        </w:trPr>
        <w:tc>
          <w:tcPr>
            <w:tcW w:w="1858" w:type="dxa"/>
            <w:tcBorders>
              <w:top w:val="nil"/>
              <w:left w:val="single" w:sz="8" w:space="0" w:color="auto"/>
              <w:bottom w:val="single" w:sz="4" w:space="0" w:color="auto"/>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Dibenz(ah)anthracen</w:t>
            </w:r>
          </w:p>
        </w:tc>
        <w:tc>
          <w:tcPr>
            <w:tcW w:w="1134" w:type="dxa"/>
            <w:tcBorders>
              <w:top w:val="nil"/>
              <w:left w:val="single" w:sz="8" w:space="0" w:color="auto"/>
              <w:bottom w:val="single" w:sz="4" w:space="0" w:color="auto"/>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w:t>
            </w:r>
          </w:p>
        </w:tc>
        <w:tc>
          <w:tcPr>
            <w:tcW w:w="709" w:type="dxa"/>
            <w:tcBorders>
              <w:top w:val="nil"/>
              <w:left w:val="single" w:sz="8" w:space="0" w:color="auto"/>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524</w:t>
            </w:r>
          </w:p>
        </w:tc>
        <w:tc>
          <w:tcPr>
            <w:tcW w:w="1559" w:type="dxa"/>
            <w:tcBorders>
              <w:top w:val="nil"/>
              <w:left w:val="nil"/>
              <w:bottom w:val="single" w:sz="4"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559" w:type="dxa"/>
            <w:tcBorders>
              <w:top w:val="nil"/>
              <w:left w:val="nil"/>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134" w:type="dxa"/>
            <w:tcBorders>
              <w:top w:val="nil"/>
              <w:left w:val="nil"/>
              <w:bottom w:val="single" w:sz="4"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066" w:type="dxa"/>
            <w:tcBorders>
              <w:top w:val="nil"/>
              <w:left w:val="nil"/>
              <w:bottom w:val="single" w:sz="4"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r>
      <w:tr w:rsidR="00A614C5" w:rsidRPr="001C5338" w:rsidTr="001C07B9">
        <w:trPr>
          <w:trHeight w:val="300"/>
        </w:trPr>
        <w:tc>
          <w:tcPr>
            <w:tcW w:w="1858"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Indeno(1,2,3-cd)pyren</w:t>
            </w:r>
          </w:p>
        </w:tc>
        <w:tc>
          <w:tcPr>
            <w:tcW w:w="1134" w:type="dxa"/>
            <w:tcBorders>
              <w:top w:val="nil"/>
              <w:left w:val="single" w:sz="8" w:space="0" w:color="auto"/>
              <w:bottom w:val="nil"/>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6</w:t>
            </w:r>
          </w:p>
        </w:tc>
        <w:tc>
          <w:tcPr>
            <w:tcW w:w="709" w:type="dxa"/>
            <w:tcBorders>
              <w:top w:val="nil"/>
              <w:left w:val="single" w:sz="8" w:space="0" w:color="auto"/>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536</w:t>
            </w:r>
          </w:p>
        </w:tc>
        <w:tc>
          <w:tcPr>
            <w:tcW w:w="1559"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559"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134" w:type="dxa"/>
            <w:tcBorders>
              <w:top w:val="nil"/>
              <w:left w:val="nil"/>
              <w:bottom w:val="nil"/>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066" w:type="dxa"/>
            <w:tcBorders>
              <w:top w:val="nil"/>
              <w:left w:val="nil"/>
              <w:bottom w:val="nil"/>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r>
      <w:tr w:rsidR="00A614C5" w:rsidRPr="001C5338" w:rsidTr="001C07B9">
        <w:trPr>
          <w:trHeight w:val="315"/>
        </w:trPr>
        <w:tc>
          <w:tcPr>
            <w:tcW w:w="1858" w:type="dxa"/>
            <w:tcBorders>
              <w:top w:val="nil"/>
              <w:left w:val="single" w:sz="8" w:space="0" w:color="auto"/>
              <w:bottom w:val="single" w:sz="8" w:space="0" w:color="auto"/>
              <w:right w:val="nil"/>
            </w:tcBorders>
            <w:shd w:val="clear" w:color="auto" w:fill="auto"/>
            <w:noWrap/>
            <w:vAlign w:val="bottom"/>
            <w:hideMark/>
          </w:tcPr>
          <w:p w:rsidR="00A614C5" w:rsidRPr="00501D33" w:rsidRDefault="00A614C5" w:rsidP="001C07B9">
            <w:pPr>
              <w:spacing w:after="0" w:line="240" w:lineRule="auto"/>
              <w:rPr>
                <w:rFonts w:eastAsia="Times New Roman" w:cs="Arial"/>
                <w:color w:val="000000"/>
                <w:sz w:val="18"/>
                <w:szCs w:val="18"/>
                <w:lang w:val="de-AT" w:eastAsia="de-AT"/>
              </w:rPr>
            </w:pPr>
            <w:r w:rsidRPr="00501D33">
              <w:rPr>
                <w:rFonts w:eastAsia="Times New Roman" w:cs="Arial"/>
                <w:color w:val="000000"/>
                <w:sz w:val="18"/>
                <w:szCs w:val="18"/>
                <w:lang w:val="de-AT" w:eastAsia="de-AT"/>
              </w:rPr>
              <w:t>Benzo(ghi)perylen</w:t>
            </w:r>
          </w:p>
        </w:tc>
        <w:tc>
          <w:tcPr>
            <w:tcW w:w="1134" w:type="dxa"/>
            <w:tcBorders>
              <w:top w:val="nil"/>
              <w:left w:val="single" w:sz="8" w:space="0" w:color="auto"/>
              <w:bottom w:val="single" w:sz="8" w:space="0" w:color="auto"/>
              <w:right w:val="nil"/>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6</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&gt;500</w:t>
            </w:r>
          </w:p>
        </w:tc>
        <w:tc>
          <w:tcPr>
            <w:tcW w:w="1559" w:type="dxa"/>
            <w:tcBorders>
              <w:top w:val="nil"/>
              <w:left w:val="nil"/>
              <w:bottom w:val="single" w:sz="8"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559" w:type="dxa"/>
            <w:tcBorders>
              <w:top w:val="nil"/>
              <w:left w:val="nil"/>
              <w:bottom w:val="single" w:sz="8"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134" w:type="dxa"/>
            <w:tcBorders>
              <w:top w:val="nil"/>
              <w:left w:val="nil"/>
              <w:bottom w:val="single" w:sz="8" w:space="0" w:color="auto"/>
              <w:right w:val="single" w:sz="4"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c>
          <w:tcPr>
            <w:tcW w:w="1066" w:type="dxa"/>
            <w:tcBorders>
              <w:top w:val="nil"/>
              <w:left w:val="nil"/>
              <w:bottom w:val="single" w:sz="8" w:space="0" w:color="auto"/>
              <w:right w:val="single" w:sz="8" w:space="0" w:color="auto"/>
            </w:tcBorders>
            <w:shd w:val="clear" w:color="auto" w:fill="auto"/>
            <w:noWrap/>
            <w:vAlign w:val="bottom"/>
            <w:hideMark/>
          </w:tcPr>
          <w:p w:rsidR="00A614C5" w:rsidRPr="00501D33" w:rsidRDefault="00A614C5" w:rsidP="001C07B9">
            <w:pPr>
              <w:spacing w:after="0" w:line="240" w:lineRule="auto"/>
              <w:jc w:val="center"/>
              <w:rPr>
                <w:rFonts w:eastAsia="Times New Roman" w:cs="Arial"/>
                <w:color w:val="000000"/>
                <w:sz w:val="18"/>
                <w:szCs w:val="18"/>
                <w:lang w:val="de-AT" w:eastAsia="de-AT"/>
              </w:rPr>
            </w:pPr>
            <w:r w:rsidRPr="00501D33">
              <w:rPr>
                <w:rFonts w:eastAsia="Times New Roman" w:cs="Arial"/>
                <w:color w:val="000000"/>
                <w:sz w:val="18"/>
                <w:szCs w:val="18"/>
                <w:lang w:val="de-AT" w:eastAsia="de-AT"/>
              </w:rPr>
              <w:t>n.a.</w:t>
            </w:r>
          </w:p>
        </w:tc>
      </w:tr>
    </w:tbl>
    <w:p w:rsidR="00A614C5" w:rsidRPr="00EB306C" w:rsidRDefault="00A614C5" w:rsidP="00A614C5">
      <w:pPr>
        <w:spacing w:after="0"/>
        <w:jc w:val="both"/>
        <w:rPr>
          <w:sz w:val="16"/>
          <w:szCs w:val="16"/>
        </w:rPr>
      </w:pPr>
      <w:r w:rsidRPr="00EB306C">
        <w:rPr>
          <w:b/>
          <w:sz w:val="16"/>
          <w:szCs w:val="16"/>
        </w:rPr>
        <w:t>A)</w:t>
      </w:r>
      <w:r w:rsidRPr="00EB306C">
        <w:rPr>
          <w:sz w:val="16"/>
          <w:szCs w:val="16"/>
        </w:rPr>
        <w:t xml:space="preserve"> PAK-Beladung aus n-Hexan mit EPA-PAK-Standard-Mix.-Dotierung</w:t>
      </w:r>
    </w:p>
    <w:p w:rsidR="00A614C5" w:rsidRPr="00EB306C" w:rsidRDefault="00A614C5" w:rsidP="00A614C5">
      <w:pPr>
        <w:spacing w:after="0"/>
        <w:jc w:val="both"/>
        <w:rPr>
          <w:sz w:val="16"/>
          <w:szCs w:val="16"/>
        </w:rPr>
      </w:pPr>
      <w:r w:rsidRPr="00EB306C">
        <w:rPr>
          <w:b/>
          <w:sz w:val="16"/>
          <w:szCs w:val="16"/>
        </w:rPr>
        <w:t>B)</w:t>
      </w:r>
      <w:r w:rsidRPr="00EB306C">
        <w:rPr>
          <w:sz w:val="16"/>
          <w:szCs w:val="16"/>
        </w:rPr>
        <w:t xml:space="preserve"> PAK-Beladung aus 250 ml Wasser nach 14 Tagen Expositionsdauer mit EPA-PAK-Standard-Mix.-Dotierung</w:t>
      </w:r>
    </w:p>
    <w:p w:rsidR="00A614C5" w:rsidRPr="00EB306C" w:rsidRDefault="00A614C5" w:rsidP="00A614C5">
      <w:pPr>
        <w:spacing w:after="0"/>
        <w:jc w:val="both"/>
        <w:rPr>
          <w:sz w:val="16"/>
          <w:szCs w:val="16"/>
        </w:rPr>
      </w:pPr>
      <w:r w:rsidRPr="00EB306C">
        <w:rPr>
          <w:b/>
          <w:sz w:val="16"/>
          <w:szCs w:val="16"/>
        </w:rPr>
        <w:t>n.a.</w:t>
      </w:r>
      <w:r w:rsidRPr="00EB306C">
        <w:rPr>
          <w:sz w:val="16"/>
          <w:szCs w:val="16"/>
        </w:rPr>
        <w:t xml:space="preserve"> = nicht auswertbar wegen unzureichender Wiederfindung für internen Standard: deuteriertes Chrysen und Benzo(ghi)perylen</w:t>
      </w:r>
    </w:p>
    <w:p w:rsidR="003516D9" w:rsidRDefault="00A614C5" w:rsidP="00EB306C">
      <w:pPr>
        <w:spacing w:after="0"/>
        <w:jc w:val="both"/>
        <w:rPr>
          <w:sz w:val="16"/>
          <w:szCs w:val="16"/>
        </w:rPr>
      </w:pPr>
      <w:r w:rsidRPr="00EB306C">
        <w:rPr>
          <w:b/>
          <w:sz w:val="16"/>
          <w:szCs w:val="16"/>
        </w:rPr>
        <w:t>1)</w:t>
      </w:r>
      <w:r w:rsidRPr="00EB306C">
        <w:rPr>
          <w:sz w:val="16"/>
          <w:szCs w:val="16"/>
        </w:rPr>
        <w:t xml:space="preserve"> In die TPS dotierte Menge jedes einzelnen Stoffs</w:t>
      </w:r>
    </w:p>
    <w:p w:rsidR="00EB306C" w:rsidRPr="00EB306C" w:rsidRDefault="00EB306C" w:rsidP="00EB306C">
      <w:pPr>
        <w:spacing w:after="0"/>
        <w:jc w:val="both"/>
        <w:rPr>
          <w:sz w:val="16"/>
          <w:szCs w:val="16"/>
        </w:rPr>
      </w:pPr>
    </w:p>
    <w:p w:rsidR="00A614C5" w:rsidRPr="003516D9" w:rsidRDefault="00A614C5" w:rsidP="00A614C5">
      <w:pPr>
        <w:spacing w:before="60" w:after="100"/>
        <w:jc w:val="both"/>
        <w:rPr>
          <w:sz w:val="18"/>
          <w:szCs w:val="18"/>
        </w:rPr>
      </w:pPr>
      <w:r w:rsidRPr="003516D9">
        <w:rPr>
          <w:sz w:val="18"/>
          <w:szCs w:val="18"/>
        </w:rPr>
        <w:t>Aktivkohle hat oxidationskatalytische Eigenschaften. Die PAK-Extraktionsergebnisse zeigen auch dies eindeutig: Acenaphthen und Fluoren enthalten jeweils einen annellierten Fünfring, der zwei bzw. eine CH</w:t>
      </w:r>
      <w:r w:rsidRPr="003516D9">
        <w:rPr>
          <w:sz w:val="18"/>
          <w:szCs w:val="18"/>
          <w:vertAlign w:val="subscript"/>
        </w:rPr>
        <w:t>2</w:t>
      </w:r>
      <w:r w:rsidRPr="003516D9">
        <w:rPr>
          <w:sz w:val="18"/>
          <w:szCs w:val="18"/>
        </w:rPr>
        <w:t xml:space="preserve">-Funktionen enthält. Beide Fünfringsysteme unterliegen der Tendenz zur Bildung aromatischer Cyclopentadienyl-Anionen, die leichter oxidieren als aromatische Sechsring-KW oder Aliphaten. Deshalb zeigen die mit 2 Wochen unter oxischen Bedingungen gemäß Dotierung B) exponierten TPS hohe Verlustraten dieser beiden PAK infolge </w:t>
      </w:r>
      <w:r w:rsidRPr="003516D9">
        <w:rPr>
          <w:sz w:val="18"/>
          <w:szCs w:val="18"/>
        </w:rPr>
        <w:lastRenderedPageBreak/>
        <w:t xml:space="preserve">Oxidation zu sauerstoffhaltigen Produkten, wie z. B. Fluorenon. Die TPS unmittelbar nach Entnahme aus dem Expositionsort bis zur Extraktion mit geeigneten Maßnahmen vor Sauerstoffzutritt zu schützen, ist daher sinnvoll. </w:t>
      </w:r>
    </w:p>
    <w:p w:rsidR="00A614C5" w:rsidRDefault="00A614C5" w:rsidP="00A614C5">
      <w:pPr>
        <w:spacing w:after="100"/>
        <w:jc w:val="both"/>
        <w:rPr>
          <w:sz w:val="18"/>
          <w:szCs w:val="18"/>
        </w:rPr>
      </w:pPr>
      <w:r w:rsidRPr="003516D9">
        <w:rPr>
          <w:sz w:val="18"/>
          <w:szCs w:val="18"/>
        </w:rPr>
        <w:t>Die Anwendung der Toluol-Druckextraktion eignet sich auch zur Optimierung der MKW-Extraktion aus den TPS, wie die Untersuchungen ausweisen. In der Tabelle 2 sind die Testergebnisse der Toluol-Druckextraktion im Vergleich zum Standardverfahren zusammengefasst. Danach zeigt sich, dass sich auch die höheren MKW mit der Toluoldruckextraktion besser aus den TPS extrahieren lassen.</w:t>
      </w:r>
    </w:p>
    <w:p w:rsidR="00EB306C" w:rsidRPr="003516D9" w:rsidRDefault="00EB306C" w:rsidP="00A614C5">
      <w:pPr>
        <w:spacing w:after="100"/>
        <w:jc w:val="both"/>
        <w:rPr>
          <w:sz w:val="18"/>
          <w:szCs w:val="18"/>
        </w:rPr>
      </w:pPr>
    </w:p>
    <w:p w:rsidR="00A614C5" w:rsidRPr="001C5338" w:rsidRDefault="00A614C5" w:rsidP="00A614C5">
      <w:pPr>
        <w:pStyle w:val="Beschriftung"/>
        <w:rPr>
          <w:color w:val="auto"/>
          <w:sz w:val="24"/>
          <w:szCs w:val="24"/>
        </w:rPr>
      </w:pPr>
      <w:r w:rsidRPr="001C5338">
        <w:rPr>
          <w:color w:val="auto"/>
        </w:rPr>
        <w:t xml:space="preserve">Tabelle </w:t>
      </w:r>
      <w:r w:rsidRPr="001C5338">
        <w:rPr>
          <w:color w:val="auto"/>
        </w:rPr>
        <w:fldChar w:fldCharType="begin"/>
      </w:r>
      <w:r w:rsidRPr="001C5338">
        <w:rPr>
          <w:color w:val="auto"/>
        </w:rPr>
        <w:instrText xml:space="preserve"> SEQ Tabelle \* ARABIC </w:instrText>
      </w:r>
      <w:r w:rsidRPr="001C5338">
        <w:rPr>
          <w:color w:val="auto"/>
        </w:rPr>
        <w:fldChar w:fldCharType="separate"/>
      </w:r>
      <w:r w:rsidR="0000031D">
        <w:rPr>
          <w:noProof/>
          <w:color w:val="auto"/>
        </w:rPr>
        <w:t>2</w:t>
      </w:r>
      <w:r w:rsidRPr="001C5338">
        <w:rPr>
          <w:color w:val="auto"/>
        </w:rPr>
        <w:fldChar w:fldCharType="end"/>
      </w:r>
      <w:r w:rsidRPr="001C5338">
        <w:rPr>
          <w:color w:val="auto"/>
        </w:rPr>
        <w:t>: MKW-Wiederfindung im TPS-Extrakt eines mit MKW ("Alkan-Mix.") beladenen TPS</w:t>
      </w:r>
    </w:p>
    <w:tbl>
      <w:tblPr>
        <w:tblW w:w="9005" w:type="dxa"/>
        <w:tblInd w:w="58" w:type="dxa"/>
        <w:tblCellMar>
          <w:left w:w="70" w:type="dxa"/>
          <w:right w:w="70" w:type="dxa"/>
        </w:tblCellMar>
        <w:tblLook w:val="04A0" w:firstRow="1" w:lastRow="0" w:firstColumn="1" w:lastColumn="0" w:noHBand="0" w:noVBand="1"/>
      </w:tblPr>
      <w:tblGrid>
        <w:gridCol w:w="1300"/>
        <w:gridCol w:w="705"/>
        <w:gridCol w:w="700"/>
        <w:gridCol w:w="700"/>
        <w:gridCol w:w="700"/>
        <w:gridCol w:w="700"/>
        <w:gridCol w:w="700"/>
        <w:gridCol w:w="700"/>
        <w:gridCol w:w="700"/>
        <w:gridCol w:w="700"/>
        <w:gridCol w:w="700"/>
        <w:gridCol w:w="700"/>
      </w:tblGrid>
      <w:tr w:rsidR="00A614C5" w:rsidRPr="001C5338" w:rsidTr="001C07B9">
        <w:trPr>
          <w:trHeight w:val="315"/>
        </w:trPr>
        <w:tc>
          <w:tcPr>
            <w:tcW w:w="1300" w:type="dxa"/>
            <w:tcBorders>
              <w:top w:val="single" w:sz="8" w:space="0" w:color="auto"/>
              <w:left w:val="single" w:sz="8" w:space="0" w:color="auto"/>
              <w:bottom w:val="nil"/>
              <w:right w:val="nil"/>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MKW</w:t>
            </w:r>
          </w:p>
        </w:tc>
        <w:tc>
          <w:tcPr>
            <w:tcW w:w="705" w:type="dxa"/>
            <w:tcBorders>
              <w:top w:val="single" w:sz="8" w:space="0" w:color="auto"/>
              <w:left w:val="single" w:sz="8" w:space="0" w:color="auto"/>
              <w:bottom w:val="nil"/>
              <w:right w:val="single" w:sz="8"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Siede-</w:t>
            </w:r>
          </w:p>
        </w:tc>
        <w:tc>
          <w:tcPr>
            <w:tcW w:w="3500" w:type="dxa"/>
            <w:gridSpan w:val="5"/>
            <w:tcBorders>
              <w:top w:val="single" w:sz="8" w:space="0" w:color="auto"/>
              <w:left w:val="nil"/>
              <w:bottom w:val="single" w:sz="8" w:space="0" w:color="auto"/>
              <w:right w:val="single" w:sz="8" w:space="0" w:color="000000"/>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A)   Wiederfindungsrate, %</w:t>
            </w:r>
          </w:p>
        </w:tc>
        <w:tc>
          <w:tcPr>
            <w:tcW w:w="3500" w:type="dxa"/>
            <w:gridSpan w:val="5"/>
            <w:tcBorders>
              <w:top w:val="single" w:sz="8" w:space="0" w:color="auto"/>
              <w:left w:val="nil"/>
              <w:bottom w:val="single" w:sz="8" w:space="0" w:color="auto"/>
              <w:right w:val="single" w:sz="8" w:space="0" w:color="000000"/>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B)   Wiederfindungsrate, %</w:t>
            </w:r>
          </w:p>
        </w:tc>
      </w:tr>
      <w:tr w:rsidR="00A614C5" w:rsidRPr="001C5338" w:rsidTr="001C07B9">
        <w:trPr>
          <w:trHeight w:val="300"/>
        </w:trPr>
        <w:tc>
          <w:tcPr>
            <w:tcW w:w="1300" w:type="dxa"/>
            <w:tcBorders>
              <w:top w:val="nil"/>
              <w:left w:val="single" w:sz="8" w:space="0" w:color="auto"/>
              <w:bottom w:val="nil"/>
              <w:right w:val="nil"/>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 </w:t>
            </w:r>
          </w:p>
        </w:tc>
        <w:tc>
          <w:tcPr>
            <w:tcW w:w="705" w:type="dxa"/>
            <w:tcBorders>
              <w:top w:val="nil"/>
              <w:left w:val="single" w:sz="8" w:space="0" w:color="auto"/>
              <w:bottom w:val="nil"/>
              <w:right w:val="single" w:sz="8"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punkt</w:t>
            </w:r>
          </w:p>
        </w:tc>
        <w:tc>
          <w:tcPr>
            <w:tcW w:w="7000" w:type="dxa"/>
            <w:gridSpan w:val="10"/>
            <w:tcBorders>
              <w:top w:val="single" w:sz="8" w:space="0" w:color="auto"/>
              <w:left w:val="nil"/>
              <w:bottom w:val="nil"/>
              <w:right w:val="single" w:sz="8" w:space="0" w:color="000000"/>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Dotierung auf jeweils einem TPS, mg absolut</w:t>
            </w:r>
          </w:p>
        </w:tc>
      </w:tr>
      <w:tr w:rsidR="00A614C5" w:rsidRPr="001C5338" w:rsidTr="001C07B9">
        <w:trPr>
          <w:trHeight w:val="300"/>
        </w:trPr>
        <w:tc>
          <w:tcPr>
            <w:tcW w:w="1300" w:type="dxa"/>
            <w:tcBorders>
              <w:top w:val="nil"/>
              <w:left w:val="single" w:sz="8" w:space="0" w:color="auto"/>
              <w:bottom w:val="nil"/>
              <w:right w:val="nil"/>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 </w:t>
            </w:r>
          </w:p>
        </w:tc>
        <w:tc>
          <w:tcPr>
            <w:tcW w:w="705" w:type="dxa"/>
            <w:tcBorders>
              <w:top w:val="nil"/>
              <w:left w:val="single" w:sz="8" w:space="0" w:color="auto"/>
              <w:bottom w:val="nil"/>
              <w:right w:val="single" w:sz="8"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 </w:t>
            </w:r>
          </w:p>
        </w:tc>
        <w:tc>
          <w:tcPr>
            <w:tcW w:w="2100" w:type="dxa"/>
            <w:gridSpan w:val="3"/>
            <w:tcBorders>
              <w:top w:val="nil"/>
              <w:left w:val="nil"/>
              <w:bottom w:val="nil"/>
              <w:right w:val="single" w:sz="4" w:space="0" w:color="000000"/>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Diesel-/Schmieröl-Mix.</w:t>
            </w:r>
          </w:p>
        </w:tc>
        <w:tc>
          <w:tcPr>
            <w:tcW w:w="1400" w:type="dxa"/>
            <w:gridSpan w:val="2"/>
            <w:tcBorders>
              <w:top w:val="nil"/>
              <w:left w:val="nil"/>
              <w:bottom w:val="nil"/>
              <w:right w:val="single" w:sz="8" w:space="0" w:color="000000"/>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Alkan-Mix.</w:t>
            </w:r>
          </w:p>
        </w:tc>
        <w:tc>
          <w:tcPr>
            <w:tcW w:w="2100" w:type="dxa"/>
            <w:gridSpan w:val="3"/>
            <w:tcBorders>
              <w:top w:val="nil"/>
              <w:left w:val="nil"/>
              <w:bottom w:val="nil"/>
              <w:right w:val="single" w:sz="4" w:space="0" w:color="000000"/>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Diesel-/Schmieröl-Mix.</w:t>
            </w:r>
          </w:p>
        </w:tc>
        <w:tc>
          <w:tcPr>
            <w:tcW w:w="1400" w:type="dxa"/>
            <w:gridSpan w:val="2"/>
            <w:tcBorders>
              <w:top w:val="nil"/>
              <w:left w:val="nil"/>
              <w:bottom w:val="nil"/>
              <w:right w:val="single" w:sz="8" w:space="0" w:color="000000"/>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Alkan-Mix.</w:t>
            </w:r>
          </w:p>
        </w:tc>
      </w:tr>
      <w:tr w:rsidR="00A614C5" w:rsidRPr="001C5338" w:rsidTr="001C07B9">
        <w:trPr>
          <w:trHeight w:val="315"/>
        </w:trPr>
        <w:tc>
          <w:tcPr>
            <w:tcW w:w="1300" w:type="dxa"/>
            <w:tcBorders>
              <w:top w:val="nil"/>
              <w:left w:val="single" w:sz="8" w:space="0" w:color="auto"/>
              <w:bottom w:val="single" w:sz="8" w:space="0" w:color="auto"/>
              <w:right w:val="nil"/>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 </w:t>
            </w:r>
          </w:p>
        </w:tc>
        <w:tc>
          <w:tcPr>
            <w:tcW w:w="705" w:type="dxa"/>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°C</w:t>
            </w:r>
          </w:p>
        </w:tc>
        <w:tc>
          <w:tcPr>
            <w:tcW w:w="700"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0,5</w:t>
            </w:r>
          </w:p>
        </w:tc>
        <w:tc>
          <w:tcPr>
            <w:tcW w:w="700"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1</w:t>
            </w:r>
          </w:p>
        </w:tc>
        <w:tc>
          <w:tcPr>
            <w:tcW w:w="700"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2</w:t>
            </w:r>
          </w:p>
        </w:tc>
        <w:tc>
          <w:tcPr>
            <w:tcW w:w="700"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10</w:t>
            </w:r>
          </w:p>
        </w:tc>
        <w:tc>
          <w:tcPr>
            <w:tcW w:w="700" w:type="dxa"/>
            <w:tcBorders>
              <w:top w:val="nil"/>
              <w:left w:val="nil"/>
              <w:bottom w:val="single" w:sz="8" w:space="0" w:color="auto"/>
              <w:right w:val="single" w:sz="8"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20</w:t>
            </w:r>
          </w:p>
        </w:tc>
        <w:tc>
          <w:tcPr>
            <w:tcW w:w="700"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0,5</w:t>
            </w:r>
          </w:p>
        </w:tc>
        <w:tc>
          <w:tcPr>
            <w:tcW w:w="700"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1</w:t>
            </w:r>
          </w:p>
        </w:tc>
        <w:tc>
          <w:tcPr>
            <w:tcW w:w="700"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2</w:t>
            </w:r>
          </w:p>
        </w:tc>
        <w:tc>
          <w:tcPr>
            <w:tcW w:w="700" w:type="dxa"/>
            <w:tcBorders>
              <w:top w:val="nil"/>
              <w:left w:val="nil"/>
              <w:bottom w:val="single" w:sz="8" w:space="0" w:color="auto"/>
              <w:right w:val="single" w:sz="4"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10</w:t>
            </w:r>
          </w:p>
        </w:tc>
        <w:tc>
          <w:tcPr>
            <w:tcW w:w="700" w:type="dxa"/>
            <w:tcBorders>
              <w:top w:val="nil"/>
              <w:left w:val="nil"/>
              <w:bottom w:val="single" w:sz="8" w:space="0" w:color="auto"/>
              <w:right w:val="single" w:sz="8" w:space="0" w:color="auto"/>
            </w:tcBorders>
            <w:shd w:val="clear" w:color="auto" w:fill="F2F2F2" w:themeFill="background1" w:themeFillShade="F2"/>
            <w:noWrap/>
            <w:vAlign w:val="bottom"/>
            <w:hideMark/>
          </w:tcPr>
          <w:p w:rsidR="00A614C5" w:rsidRPr="001C5338" w:rsidRDefault="00A614C5" w:rsidP="001C07B9">
            <w:pPr>
              <w:spacing w:after="0" w:line="240" w:lineRule="auto"/>
              <w:jc w:val="center"/>
              <w:rPr>
                <w:rFonts w:eastAsia="Times New Roman" w:cs="Arial"/>
                <w:b/>
                <w:bCs/>
                <w:color w:val="000000"/>
                <w:sz w:val="18"/>
                <w:szCs w:val="18"/>
                <w:lang w:val="de-AT" w:eastAsia="de-AT"/>
              </w:rPr>
            </w:pPr>
            <w:r w:rsidRPr="001C5338">
              <w:rPr>
                <w:rFonts w:eastAsia="Times New Roman" w:cs="Arial"/>
                <w:b/>
                <w:bCs/>
                <w:color w:val="000000"/>
                <w:sz w:val="18"/>
                <w:szCs w:val="18"/>
                <w:lang w:val="de-AT" w:eastAsia="de-AT"/>
              </w:rPr>
              <w:t>20</w:t>
            </w:r>
          </w:p>
        </w:tc>
      </w:tr>
      <w:tr w:rsidR="00A614C5" w:rsidRPr="001C5338" w:rsidTr="001C07B9">
        <w:trPr>
          <w:trHeight w:val="300"/>
        </w:trPr>
        <w:tc>
          <w:tcPr>
            <w:tcW w:w="1300" w:type="dxa"/>
            <w:tcBorders>
              <w:top w:val="nil"/>
              <w:left w:val="single" w:sz="8" w:space="0" w:color="auto"/>
              <w:bottom w:val="single" w:sz="4" w:space="0" w:color="auto"/>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C10</w:t>
            </w:r>
          </w:p>
        </w:tc>
        <w:tc>
          <w:tcPr>
            <w:tcW w:w="705" w:type="dxa"/>
            <w:tcBorders>
              <w:top w:val="nil"/>
              <w:left w:val="single" w:sz="8" w:space="0" w:color="auto"/>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174</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2</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2</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3</w:t>
            </w:r>
          </w:p>
        </w:tc>
        <w:tc>
          <w:tcPr>
            <w:tcW w:w="700" w:type="dxa"/>
            <w:tcBorders>
              <w:top w:val="nil"/>
              <w:left w:val="nil"/>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78</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78</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88</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115</w:t>
            </w:r>
          </w:p>
        </w:tc>
        <w:tc>
          <w:tcPr>
            <w:tcW w:w="700" w:type="dxa"/>
            <w:tcBorders>
              <w:top w:val="nil"/>
              <w:left w:val="nil"/>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74</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C12</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216</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18</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38</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83</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80</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C14</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43</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65</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79</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77</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C16</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287</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72</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88</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76</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74</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C18</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94</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95</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73</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70</w:t>
            </w:r>
          </w:p>
        </w:tc>
      </w:tr>
      <w:tr w:rsidR="00A614C5" w:rsidRPr="001C5338" w:rsidTr="001C07B9">
        <w:trPr>
          <w:trHeight w:val="300"/>
        </w:trPr>
        <w:tc>
          <w:tcPr>
            <w:tcW w:w="1300" w:type="dxa"/>
            <w:tcBorders>
              <w:top w:val="nil"/>
              <w:left w:val="single" w:sz="8" w:space="0" w:color="auto"/>
              <w:bottom w:val="single" w:sz="4" w:space="0" w:color="auto"/>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C20</w:t>
            </w:r>
          </w:p>
        </w:tc>
        <w:tc>
          <w:tcPr>
            <w:tcW w:w="705" w:type="dxa"/>
            <w:tcBorders>
              <w:top w:val="nil"/>
              <w:left w:val="single" w:sz="8" w:space="0" w:color="auto"/>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343</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94</w:t>
            </w:r>
          </w:p>
        </w:tc>
        <w:tc>
          <w:tcPr>
            <w:tcW w:w="700" w:type="dxa"/>
            <w:tcBorders>
              <w:top w:val="nil"/>
              <w:left w:val="nil"/>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92</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60</w:t>
            </w:r>
          </w:p>
        </w:tc>
        <w:tc>
          <w:tcPr>
            <w:tcW w:w="700" w:type="dxa"/>
            <w:tcBorders>
              <w:top w:val="nil"/>
              <w:left w:val="nil"/>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58</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C22</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112</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102</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55</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53</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C24</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100</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100</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39</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38</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C26</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103</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100</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26</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25</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C28</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101</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99</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16</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15</w:t>
            </w:r>
          </w:p>
        </w:tc>
      </w:tr>
      <w:tr w:rsidR="00A614C5" w:rsidRPr="001C5338" w:rsidTr="001C07B9">
        <w:trPr>
          <w:trHeight w:val="300"/>
        </w:trPr>
        <w:tc>
          <w:tcPr>
            <w:tcW w:w="1300" w:type="dxa"/>
            <w:tcBorders>
              <w:top w:val="nil"/>
              <w:left w:val="single" w:sz="8" w:space="0" w:color="auto"/>
              <w:bottom w:val="single" w:sz="4" w:space="0" w:color="auto"/>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C30</w:t>
            </w:r>
          </w:p>
        </w:tc>
        <w:tc>
          <w:tcPr>
            <w:tcW w:w="705" w:type="dxa"/>
            <w:tcBorders>
              <w:top w:val="nil"/>
              <w:left w:val="single" w:sz="8" w:space="0" w:color="auto"/>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450</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100</w:t>
            </w:r>
          </w:p>
        </w:tc>
        <w:tc>
          <w:tcPr>
            <w:tcW w:w="700" w:type="dxa"/>
            <w:tcBorders>
              <w:top w:val="nil"/>
              <w:left w:val="nil"/>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98</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4"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10</w:t>
            </w:r>
          </w:p>
        </w:tc>
        <w:tc>
          <w:tcPr>
            <w:tcW w:w="700" w:type="dxa"/>
            <w:tcBorders>
              <w:top w:val="nil"/>
              <w:left w:val="nil"/>
              <w:bottom w:val="single" w:sz="4"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C32</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99</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97</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C34</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99</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96</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8</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C36</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91</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90</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1,5</w:t>
            </w:r>
          </w:p>
        </w:tc>
      </w:tr>
      <w:tr w:rsidR="00A614C5" w:rsidRPr="001C5338" w:rsidTr="001C07B9">
        <w:trPr>
          <w:trHeight w:val="300"/>
        </w:trPr>
        <w:tc>
          <w:tcPr>
            <w:tcW w:w="1300" w:type="dxa"/>
            <w:tcBorders>
              <w:top w:val="nil"/>
              <w:left w:val="single" w:sz="8" w:space="0" w:color="auto"/>
              <w:bottom w:val="nil"/>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C38</w:t>
            </w:r>
          </w:p>
        </w:tc>
        <w:tc>
          <w:tcPr>
            <w:tcW w:w="705" w:type="dxa"/>
            <w:tcBorders>
              <w:top w:val="nil"/>
              <w:left w:val="single" w:sz="8" w:space="0" w:color="auto"/>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88</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89</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nil"/>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n.a.</w:t>
            </w:r>
          </w:p>
        </w:tc>
        <w:tc>
          <w:tcPr>
            <w:tcW w:w="700" w:type="dxa"/>
            <w:tcBorders>
              <w:top w:val="nil"/>
              <w:left w:val="nil"/>
              <w:bottom w:val="nil"/>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n.a.</w:t>
            </w:r>
          </w:p>
        </w:tc>
      </w:tr>
      <w:tr w:rsidR="00A614C5" w:rsidRPr="001C5338" w:rsidTr="001C07B9">
        <w:trPr>
          <w:trHeight w:val="315"/>
        </w:trPr>
        <w:tc>
          <w:tcPr>
            <w:tcW w:w="1300" w:type="dxa"/>
            <w:tcBorders>
              <w:top w:val="nil"/>
              <w:left w:val="single" w:sz="8" w:space="0" w:color="auto"/>
              <w:bottom w:val="single" w:sz="8" w:space="0" w:color="auto"/>
              <w:right w:val="nil"/>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C40</w:t>
            </w:r>
          </w:p>
        </w:tc>
        <w:tc>
          <w:tcPr>
            <w:tcW w:w="705" w:type="dxa"/>
            <w:tcBorders>
              <w:top w:val="nil"/>
              <w:left w:val="single" w:sz="8" w:space="0" w:color="auto"/>
              <w:bottom w:val="single" w:sz="8"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525</w:t>
            </w:r>
          </w:p>
        </w:tc>
        <w:tc>
          <w:tcPr>
            <w:tcW w:w="700" w:type="dxa"/>
            <w:tcBorders>
              <w:top w:val="nil"/>
              <w:left w:val="nil"/>
              <w:bottom w:val="single" w:sz="8"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78</w:t>
            </w:r>
          </w:p>
        </w:tc>
        <w:tc>
          <w:tcPr>
            <w:tcW w:w="700" w:type="dxa"/>
            <w:tcBorders>
              <w:top w:val="nil"/>
              <w:left w:val="nil"/>
              <w:bottom w:val="single" w:sz="8"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93</w:t>
            </w:r>
          </w:p>
        </w:tc>
        <w:tc>
          <w:tcPr>
            <w:tcW w:w="700" w:type="dxa"/>
            <w:tcBorders>
              <w:top w:val="nil"/>
              <w:left w:val="nil"/>
              <w:bottom w:val="single" w:sz="8"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98</w:t>
            </w:r>
          </w:p>
        </w:tc>
        <w:tc>
          <w:tcPr>
            <w:tcW w:w="700" w:type="dxa"/>
            <w:tcBorders>
              <w:top w:val="nil"/>
              <w:left w:val="nil"/>
              <w:bottom w:val="single" w:sz="8"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125</w:t>
            </w:r>
          </w:p>
        </w:tc>
        <w:tc>
          <w:tcPr>
            <w:tcW w:w="700" w:type="dxa"/>
            <w:tcBorders>
              <w:top w:val="nil"/>
              <w:left w:val="nil"/>
              <w:bottom w:val="single" w:sz="8"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82</w:t>
            </w:r>
          </w:p>
        </w:tc>
        <w:tc>
          <w:tcPr>
            <w:tcW w:w="700" w:type="dxa"/>
            <w:tcBorders>
              <w:top w:val="nil"/>
              <w:left w:val="nil"/>
              <w:bottom w:val="single" w:sz="8"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0,4</w:t>
            </w:r>
          </w:p>
        </w:tc>
        <w:tc>
          <w:tcPr>
            <w:tcW w:w="700" w:type="dxa"/>
            <w:tcBorders>
              <w:top w:val="nil"/>
              <w:left w:val="nil"/>
              <w:bottom w:val="single" w:sz="8"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0,3</w:t>
            </w:r>
          </w:p>
        </w:tc>
        <w:tc>
          <w:tcPr>
            <w:tcW w:w="700" w:type="dxa"/>
            <w:tcBorders>
              <w:top w:val="nil"/>
              <w:left w:val="nil"/>
              <w:bottom w:val="single" w:sz="8"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0,4</w:t>
            </w:r>
          </w:p>
        </w:tc>
        <w:tc>
          <w:tcPr>
            <w:tcW w:w="700" w:type="dxa"/>
            <w:tcBorders>
              <w:top w:val="nil"/>
              <w:left w:val="nil"/>
              <w:bottom w:val="single" w:sz="8" w:space="0" w:color="auto"/>
              <w:right w:val="single" w:sz="4"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n.a.</w:t>
            </w:r>
          </w:p>
        </w:tc>
        <w:tc>
          <w:tcPr>
            <w:tcW w:w="700" w:type="dxa"/>
            <w:tcBorders>
              <w:top w:val="nil"/>
              <w:left w:val="nil"/>
              <w:bottom w:val="single" w:sz="8" w:space="0" w:color="auto"/>
              <w:right w:val="single" w:sz="8" w:space="0" w:color="auto"/>
            </w:tcBorders>
            <w:shd w:val="clear" w:color="auto" w:fill="auto"/>
            <w:noWrap/>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n.a.</w:t>
            </w:r>
          </w:p>
        </w:tc>
      </w:tr>
      <w:tr w:rsidR="00A614C5" w:rsidRPr="001C5338" w:rsidTr="001C07B9">
        <w:trPr>
          <w:trHeight w:val="295"/>
        </w:trPr>
        <w:tc>
          <w:tcPr>
            <w:tcW w:w="1300" w:type="dxa"/>
            <w:tcBorders>
              <w:top w:val="nil"/>
              <w:left w:val="single" w:sz="8" w:space="0" w:color="auto"/>
              <w:bottom w:val="single" w:sz="8" w:space="0" w:color="auto"/>
              <w:right w:val="nil"/>
            </w:tcBorders>
            <w:shd w:val="clear" w:color="auto" w:fill="auto"/>
            <w:vAlign w:val="bottom"/>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MKW, gesamt (C10-C40)</w:t>
            </w:r>
          </w:p>
        </w:tc>
        <w:tc>
          <w:tcPr>
            <w:tcW w:w="705" w:type="dxa"/>
            <w:tcBorders>
              <w:top w:val="nil"/>
              <w:left w:val="single" w:sz="8" w:space="0" w:color="auto"/>
              <w:bottom w:val="single" w:sz="8" w:space="0" w:color="auto"/>
              <w:right w:val="single" w:sz="8"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8" w:space="0" w:color="auto"/>
              <w:right w:val="single" w:sz="4"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67</w:t>
            </w:r>
          </w:p>
        </w:tc>
        <w:tc>
          <w:tcPr>
            <w:tcW w:w="700" w:type="dxa"/>
            <w:tcBorders>
              <w:top w:val="nil"/>
              <w:left w:val="nil"/>
              <w:bottom w:val="single" w:sz="8" w:space="0" w:color="auto"/>
              <w:right w:val="single" w:sz="4"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59</w:t>
            </w:r>
          </w:p>
        </w:tc>
        <w:tc>
          <w:tcPr>
            <w:tcW w:w="700" w:type="dxa"/>
            <w:tcBorders>
              <w:top w:val="nil"/>
              <w:left w:val="nil"/>
              <w:bottom w:val="single" w:sz="8" w:space="0" w:color="auto"/>
              <w:right w:val="single" w:sz="4"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72</w:t>
            </w:r>
          </w:p>
        </w:tc>
        <w:tc>
          <w:tcPr>
            <w:tcW w:w="700" w:type="dxa"/>
            <w:tcBorders>
              <w:top w:val="nil"/>
              <w:left w:val="nil"/>
              <w:bottom w:val="single" w:sz="8" w:space="0" w:color="auto"/>
              <w:right w:val="single" w:sz="4"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8" w:space="0" w:color="auto"/>
              <w:right w:val="single" w:sz="8"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8" w:space="0" w:color="auto"/>
              <w:right w:val="single" w:sz="4"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47</w:t>
            </w:r>
          </w:p>
        </w:tc>
        <w:tc>
          <w:tcPr>
            <w:tcW w:w="700" w:type="dxa"/>
            <w:tcBorders>
              <w:top w:val="nil"/>
              <w:left w:val="nil"/>
              <w:bottom w:val="single" w:sz="8" w:space="0" w:color="auto"/>
              <w:right w:val="single" w:sz="4"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44</w:t>
            </w:r>
          </w:p>
        </w:tc>
        <w:tc>
          <w:tcPr>
            <w:tcW w:w="700" w:type="dxa"/>
            <w:tcBorders>
              <w:top w:val="nil"/>
              <w:left w:val="nil"/>
              <w:bottom w:val="single" w:sz="8" w:space="0" w:color="auto"/>
              <w:right w:val="single" w:sz="4"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44</w:t>
            </w:r>
          </w:p>
        </w:tc>
        <w:tc>
          <w:tcPr>
            <w:tcW w:w="700" w:type="dxa"/>
            <w:tcBorders>
              <w:top w:val="nil"/>
              <w:left w:val="nil"/>
              <w:bottom w:val="single" w:sz="8" w:space="0" w:color="auto"/>
              <w:right w:val="single" w:sz="4"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c>
          <w:tcPr>
            <w:tcW w:w="700" w:type="dxa"/>
            <w:tcBorders>
              <w:top w:val="nil"/>
              <w:left w:val="nil"/>
              <w:bottom w:val="single" w:sz="8" w:space="0" w:color="auto"/>
              <w:right w:val="single" w:sz="8" w:space="0" w:color="auto"/>
            </w:tcBorders>
            <w:shd w:val="clear" w:color="auto" w:fill="auto"/>
            <w:vAlign w:val="center"/>
            <w:hideMark/>
          </w:tcPr>
          <w:p w:rsidR="00A614C5" w:rsidRPr="001C5338" w:rsidRDefault="00A614C5" w:rsidP="001C07B9">
            <w:pPr>
              <w:spacing w:after="0" w:line="240" w:lineRule="auto"/>
              <w:jc w:val="center"/>
              <w:rPr>
                <w:rFonts w:eastAsia="Times New Roman" w:cs="Arial"/>
                <w:color w:val="000000"/>
                <w:sz w:val="18"/>
                <w:szCs w:val="18"/>
                <w:lang w:val="de-AT" w:eastAsia="de-AT"/>
              </w:rPr>
            </w:pPr>
            <w:r w:rsidRPr="001C5338">
              <w:rPr>
                <w:rFonts w:eastAsia="Times New Roman" w:cs="Arial"/>
                <w:color w:val="000000"/>
                <w:sz w:val="18"/>
                <w:szCs w:val="18"/>
                <w:lang w:val="de-AT" w:eastAsia="de-AT"/>
              </w:rPr>
              <w:t> </w:t>
            </w:r>
          </w:p>
        </w:tc>
      </w:tr>
    </w:tbl>
    <w:p w:rsidR="00A614C5" w:rsidRPr="00EB306C" w:rsidRDefault="00A614C5" w:rsidP="00A614C5">
      <w:pPr>
        <w:pStyle w:val="Listenabsatz"/>
        <w:numPr>
          <w:ilvl w:val="0"/>
          <w:numId w:val="5"/>
        </w:numPr>
        <w:spacing w:after="120"/>
        <w:ind w:left="426" w:hanging="426"/>
        <w:jc w:val="both"/>
        <w:rPr>
          <w:rFonts w:cs="Arial"/>
          <w:sz w:val="16"/>
          <w:szCs w:val="16"/>
        </w:rPr>
      </w:pPr>
      <w:r w:rsidRPr="00EB306C">
        <w:rPr>
          <w:rFonts w:cs="Arial"/>
          <w:sz w:val="16"/>
          <w:szCs w:val="16"/>
        </w:rPr>
        <w:t>Toluol-Druckextraktion bei 150 °C</w:t>
      </w:r>
    </w:p>
    <w:p w:rsidR="00A614C5" w:rsidRPr="00EB306C" w:rsidRDefault="00A614C5" w:rsidP="00A614C5">
      <w:pPr>
        <w:pStyle w:val="Listenabsatz"/>
        <w:numPr>
          <w:ilvl w:val="0"/>
          <w:numId w:val="5"/>
        </w:numPr>
        <w:spacing w:after="120"/>
        <w:ind w:left="426" w:hanging="426"/>
        <w:jc w:val="both"/>
        <w:rPr>
          <w:rFonts w:cs="Arial"/>
          <w:sz w:val="16"/>
          <w:szCs w:val="16"/>
        </w:rPr>
      </w:pPr>
      <w:r w:rsidRPr="00EB306C">
        <w:rPr>
          <w:rFonts w:cs="Arial"/>
          <w:sz w:val="16"/>
          <w:szCs w:val="16"/>
        </w:rPr>
        <w:t>herkömmliche Ultraschall-Schüttelextraktion mit n-Hexan bei 20 °C nach DIN-ISO 16703</w:t>
      </w:r>
    </w:p>
    <w:p w:rsidR="00A614C5" w:rsidRPr="00EB306C" w:rsidRDefault="00A614C5" w:rsidP="00A614C5">
      <w:pPr>
        <w:pStyle w:val="Listenabsatz"/>
        <w:spacing w:after="0" w:line="240" w:lineRule="auto"/>
        <w:ind w:left="426" w:hanging="426"/>
        <w:jc w:val="both"/>
        <w:rPr>
          <w:rFonts w:eastAsia="Times New Roman" w:cs="Arial"/>
          <w:color w:val="000000"/>
          <w:sz w:val="16"/>
          <w:szCs w:val="16"/>
          <w:lang w:val="de-AT" w:eastAsia="de-AT"/>
        </w:rPr>
      </w:pPr>
      <w:r w:rsidRPr="00EB306C">
        <w:rPr>
          <w:rFonts w:eastAsia="Times New Roman" w:cs="Arial"/>
          <w:color w:val="000000"/>
          <w:sz w:val="16"/>
          <w:szCs w:val="16"/>
          <w:lang w:val="de-AT" w:eastAsia="de-AT"/>
        </w:rPr>
        <w:t>n.a. = nicht auswertbar wegen unzureichender Wiederfindungsrate für interne Standardverbindungen</w:t>
      </w:r>
    </w:p>
    <w:p w:rsidR="003516D9" w:rsidRPr="00EB306C" w:rsidRDefault="003516D9" w:rsidP="00A614C5">
      <w:pPr>
        <w:spacing w:before="120" w:after="120"/>
        <w:jc w:val="both"/>
        <w:rPr>
          <w:sz w:val="16"/>
          <w:szCs w:val="16"/>
          <w:lang w:val="de-AT"/>
        </w:rPr>
      </w:pPr>
    </w:p>
    <w:p w:rsidR="00A614C5" w:rsidRPr="003516D9" w:rsidRDefault="00A614C5" w:rsidP="00A614C5">
      <w:pPr>
        <w:spacing w:before="120" w:after="120"/>
        <w:jc w:val="both"/>
        <w:rPr>
          <w:sz w:val="18"/>
          <w:szCs w:val="18"/>
        </w:rPr>
      </w:pPr>
      <w:r w:rsidRPr="003516D9">
        <w:rPr>
          <w:sz w:val="18"/>
          <w:szCs w:val="18"/>
          <w:lang w:val="de-AT"/>
        </w:rPr>
        <w:t>D</w:t>
      </w:r>
      <w:r w:rsidRPr="003516D9">
        <w:rPr>
          <w:sz w:val="18"/>
          <w:szCs w:val="18"/>
        </w:rPr>
        <w:t xml:space="preserve">ie Toluol-Druckextraktion eignet sich auch zur Bestimmung von POPs (persistent organic pollutants) auf Aktivkohlefaser-Passivsammlern </w:t>
      </w:r>
      <w:r w:rsidRPr="003516D9">
        <w:rPr>
          <w:sz w:val="18"/>
          <w:szCs w:val="18"/>
          <w:vertAlign w:val="superscript"/>
        </w:rPr>
        <w:t>[4]</w:t>
      </w:r>
      <w:r w:rsidRPr="003516D9">
        <w:rPr>
          <w:sz w:val="18"/>
          <w:szCs w:val="18"/>
        </w:rPr>
        <w:t>. Durch die technisch mögliche Anhebung der Extraktionstemperatur auf Werte über 150 °C wird eine weitere Verbesserung der Extraktionsergebnisse erwartet.</w:t>
      </w:r>
    </w:p>
    <w:p w:rsidR="003516D9" w:rsidRPr="003516D9" w:rsidRDefault="00A614C5" w:rsidP="00A614C5">
      <w:pPr>
        <w:spacing w:after="120"/>
        <w:jc w:val="both"/>
        <w:rPr>
          <w:sz w:val="18"/>
          <w:szCs w:val="18"/>
        </w:rPr>
      </w:pPr>
      <w:r w:rsidRPr="003516D9">
        <w:rPr>
          <w:sz w:val="18"/>
          <w:szCs w:val="18"/>
        </w:rPr>
        <w:t>Wir bedanken uns an dieser Stelle bei der GBA Gesellschaft für Bioanalytik mbH, Pinneberg, die die Untersuchungen für uns durchgeführt hat.</w:t>
      </w:r>
    </w:p>
    <w:p w:rsidR="00A614C5" w:rsidRPr="003516D9" w:rsidRDefault="003516D9" w:rsidP="00A614C5">
      <w:pPr>
        <w:spacing w:after="0"/>
        <w:ind w:left="284" w:hanging="284"/>
        <w:rPr>
          <w:b/>
          <w:sz w:val="18"/>
          <w:szCs w:val="18"/>
        </w:rPr>
      </w:pPr>
      <w:r>
        <w:rPr>
          <w:b/>
          <w:sz w:val="18"/>
          <w:szCs w:val="18"/>
        </w:rPr>
        <w:t xml:space="preserve">Zitierte </w:t>
      </w:r>
      <w:r w:rsidR="00A614C5" w:rsidRPr="003516D9">
        <w:rPr>
          <w:b/>
          <w:sz w:val="18"/>
          <w:szCs w:val="18"/>
        </w:rPr>
        <w:t>Literatur</w:t>
      </w:r>
    </w:p>
    <w:p w:rsidR="00A614C5" w:rsidRPr="003516D9" w:rsidRDefault="00A614C5" w:rsidP="00A614C5">
      <w:pPr>
        <w:pStyle w:val="Listenabsatz"/>
        <w:numPr>
          <w:ilvl w:val="0"/>
          <w:numId w:val="6"/>
        </w:numPr>
        <w:spacing w:after="0"/>
        <w:ind w:left="567" w:hanging="567"/>
        <w:jc w:val="both"/>
        <w:rPr>
          <w:sz w:val="18"/>
          <w:szCs w:val="18"/>
        </w:rPr>
      </w:pPr>
      <w:r w:rsidRPr="003516D9">
        <w:rPr>
          <w:b/>
          <w:sz w:val="18"/>
          <w:szCs w:val="18"/>
        </w:rPr>
        <w:t>Bayerisches Landesamt für Umwelt (2008):</w:t>
      </w:r>
      <w:r w:rsidRPr="003516D9">
        <w:rPr>
          <w:sz w:val="18"/>
          <w:szCs w:val="18"/>
        </w:rPr>
        <w:t xml:space="preserve"> Anzuwendende Verfahren zur Erfüllung der Anforderungen für die Zulassung als Untersuchungsstelle nach der Verordnung über Sachverständige und Untersuchungsstellen für den Bodenschutz und die Altlastenbehandlung in Bayern; VerfOLfU / Anlage 3, p. 4 </w:t>
      </w:r>
    </w:p>
    <w:p w:rsidR="00A614C5" w:rsidRPr="003516D9" w:rsidRDefault="00A614C5" w:rsidP="00A614C5">
      <w:pPr>
        <w:pStyle w:val="Listenabsatz"/>
        <w:numPr>
          <w:ilvl w:val="0"/>
          <w:numId w:val="6"/>
        </w:numPr>
        <w:spacing w:after="0"/>
        <w:ind w:left="567" w:hanging="567"/>
        <w:jc w:val="both"/>
        <w:rPr>
          <w:b/>
          <w:sz w:val="18"/>
          <w:szCs w:val="18"/>
          <w:lang w:val="en-US"/>
        </w:rPr>
      </w:pPr>
      <w:r w:rsidRPr="003516D9">
        <w:rPr>
          <w:b/>
          <w:sz w:val="18"/>
          <w:szCs w:val="18"/>
          <w:lang w:val="en-US"/>
        </w:rPr>
        <w:t>Charette LP &amp; Girolami L (1961):</w:t>
      </w:r>
      <w:r w:rsidRPr="003516D9">
        <w:rPr>
          <w:sz w:val="18"/>
          <w:szCs w:val="18"/>
          <w:lang w:val="en-US"/>
        </w:rPr>
        <w:t xml:space="preserve"> Solvent fractionation of electrode binder pitches; </w:t>
      </w:r>
      <w:r w:rsidRPr="003516D9">
        <w:rPr>
          <w:i/>
          <w:sz w:val="18"/>
          <w:szCs w:val="18"/>
          <w:lang w:val="en-US"/>
        </w:rPr>
        <w:t>Fuel,</w:t>
      </w:r>
      <w:r w:rsidRPr="003516D9">
        <w:rPr>
          <w:sz w:val="18"/>
          <w:szCs w:val="18"/>
          <w:lang w:val="en-US"/>
        </w:rPr>
        <w:t xml:space="preserve"> 40, pp. 89-98 </w:t>
      </w:r>
    </w:p>
    <w:p w:rsidR="00A614C5" w:rsidRPr="003516D9" w:rsidRDefault="00A614C5" w:rsidP="00A614C5">
      <w:pPr>
        <w:pStyle w:val="Listenabsatz"/>
        <w:numPr>
          <w:ilvl w:val="0"/>
          <w:numId w:val="6"/>
        </w:numPr>
        <w:spacing w:after="0"/>
        <w:ind w:left="567" w:hanging="567"/>
        <w:jc w:val="both"/>
        <w:rPr>
          <w:b/>
          <w:sz w:val="18"/>
          <w:szCs w:val="18"/>
        </w:rPr>
      </w:pPr>
      <w:r w:rsidRPr="003516D9">
        <w:rPr>
          <w:b/>
          <w:sz w:val="18"/>
          <w:szCs w:val="18"/>
        </w:rPr>
        <w:t>LAGA KW/04 (2004):</w:t>
      </w:r>
      <w:r w:rsidRPr="003516D9">
        <w:rPr>
          <w:sz w:val="18"/>
          <w:szCs w:val="18"/>
        </w:rPr>
        <w:t xml:space="preserve"> Mitteilung der Ländergemeinschaft Abfall (LAGA) 35, Bestimmung des Gehaltes an Kohlenwasserstoffen in Abfällen – Untersuchungs- und Analysenstrategie, KW/04, pp. 12, 36</w:t>
      </w:r>
    </w:p>
    <w:p w:rsidR="00A80BC3" w:rsidRPr="003516D9" w:rsidRDefault="00A614C5" w:rsidP="003516D9">
      <w:pPr>
        <w:pStyle w:val="Listenabsatz"/>
        <w:numPr>
          <w:ilvl w:val="0"/>
          <w:numId w:val="6"/>
        </w:numPr>
        <w:spacing w:after="0"/>
        <w:ind w:left="567" w:hanging="567"/>
        <w:jc w:val="both"/>
        <w:rPr>
          <w:b/>
          <w:sz w:val="18"/>
          <w:szCs w:val="18"/>
          <w:lang w:val="en-US"/>
        </w:rPr>
      </w:pPr>
      <w:r w:rsidRPr="003516D9">
        <w:rPr>
          <w:b/>
          <w:sz w:val="18"/>
          <w:szCs w:val="18"/>
          <w:lang w:val="en-US"/>
        </w:rPr>
        <w:t>Yagoh H, Murayama H, Suzuki T, Tominaga Y, Shibuya N, Masuda Y</w:t>
      </w:r>
      <w:r w:rsidRPr="003516D9">
        <w:rPr>
          <w:sz w:val="18"/>
          <w:szCs w:val="18"/>
          <w:lang w:val="en-US"/>
        </w:rPr>
        <w:t xml:space="preserve">. </w:t>
      </w:r>
      <w:r w:rsidRPr="003516D9">
        <w:rPr>
          <w:b/>
          <w:sz w:val="18"/>
          <w:szCs w:val="18"/>
          <w:lang w:val="en-US"/>
        </w:rPr>
        <w:t xml:space="preserve">(2006): </w:t>
      </w:r>
      <w:r w:rsidRPr="003516D9">
        <w:rPr>
          <w:sz w:val="18"/>
          <w:szCs w:val="18"/>
          <w:lang w:val="en-US"/>
        </w:rPr>
        <w:t xml:space="preserve">Simultaneous monitoring method of polycyclic aromatic hydrocarbons and persistant pollutants in the atmosphere using activated carbon fiber filter paper; </w:t>
      </w:r>
      <w:r w:rsidRPr="003516D9">
        <w:rPr>
          <w:i/>
          <w:sz w:val="18"/>
          <w:szCs w:val="18"/>
          <w:lang w:val="en-US"/>
        </w:rPr>
        <w:t>Analytical Sciences,</w:t>
      </w:r>
      <w:r w:rsidRPr="003516D9">
        <w:rPr>
          <w:sz w:val="18"/>
          <w:szCs w:val="18"/>
          <w:lang w:val="en-US"/>
        </w:rPr>
        <w:t xml:space="preserve"> 22(4), pp.583-590</w:t>
      </w:r>
    </w:p>
    <w:sectPr w:rsidR="00A80BC3" w:rsidRPr="003516D9" w:rsidSect="009A68E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DE" w:rsidRDefault="007335DE">
      <w:pPr>
        <w:spacing w:after="0" w:line="240" w:lineRule="auto"/>
      </w:pPr>
      <w:r>
        <w:separator/>
      </w:r>
    </w:p>
  </w:endnote>
  <w:endnote w:type="continuationSeparator" w:id="0">
    <w:p w:rsidR="007335DE" w:rsidRDefault="0073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492690"/>
      <w:docPartObj>
        <w:docPartGallery w:val="Page Numbers (Bottom of Page)"/>
        <w:docPartUnique/>
      </w:docPartObj>
    </w:sdtPr>
    <w:sdtEndPr/>
    <w:sdtContent>
      <w:p w:rsidR="00407EF2" w:rsidRDefault="007335DE">
        <w:pPr>
          <w:pStyle w:val="Fuzeile"/>
          <w:jc w:val="right"/>
        </w:pPr>
        <w:r>
          <w:fldChar w:fldCharType="begin"/>
        </w:r>
        <w:r>
          <w:instrText>PAGE   \* MERGEFORMAT</w:instrText>
        </w:r>
        <w:r>
          <w:fldChar w:fldCharType="separate"/>
        </w:r>
        <w:r w:rsidR="0065694C">
          <w:rPr>
            <w:noProof/>
          </w:rPr>
          <w:t>2</w:t>
        </w:r>
        <w:r>
          <w:rPr>
            <w:noProof/>
          </w:rPr>
          <w:fldChar w:fldCharType="end"/>
        </w:r>
      </w:p>
    </w:sdtContent>
  </w:sdt>
  <w:p w:rsidR="00407EF2" w:rsidRDefault="007335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DE" w:rsidRDefault="007335DE">
      <w:pPr>
        <w:spacing w:after="0" w:line="240" w:lineRule="auto"/>
      </w:pPr>
      <w:r>
        <w:separator/>
      </w:r>
    </w:p>
  </w:footnote>
  <w:footnote w:type="continuationSeparator" w:id="0">
    <w:p w:rsidR="007335DE" w:rsidRDefault="00733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04" w:rsidRPr="007A2204" w:rsidRDefault="007335DE">
    <w:pPr>
      <w:pStyle w:val="Kopfzeile"/>
      <w:rPr>
        <w:rFonts w:ascii="Arial Narrow" w:hAnsi="Arial Narrow"/>
        <w:sz w:val="16"/>
        <w:szCs w:val="16"/>
      </w:rPr>
    </w:pPr>
    <w:r>
      <w:rPr>
        <w:rFonts w:ascii="Arial Narrow" w:hAnsi="Arial Narrow"/>
        <w:sz w:val="16"/>
        <w:szCs w:val="16"/>
      </w:rPr>
      <w:t>DECHEMA-Symposium Strategien zur Boden- und Grundwassersanierung, Darmstadt , 24.-25. Nov. 2014</w:t>
    </w:r>
  </w:p>
  <w:p w:rsidR="00407EF2" w:rsidRDefault="007335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471F"/>
    <w:multiLevelType w:val="hybridMultilevel"/>
    <w:tmpl w:val="736EA51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1F85566B"/>
    <w:multiLevelType w:val="hybridMultilevel"/>
    <w:tmpl w:val="90C0AE68"/>
    <w:lvl w:ilvl="0" w:tplc="DC1EF51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3A5F1CDF"/>
    <w:multiLevelType w:val="hybridMultilevel"/>
    <w:tmpl w:val="F43C55BC"/>
    <w:lvl w:ilvl="0" w:tplc="69F2F66C">
      <w:start w:val="1"/>
      <w:numFmt w:val="decimal"/>
      <w:lvlText w:val="[%1]"/>
      <w:lvlJc w:val="left"/>
      <w:pPr>
        <w:ind w:left="1068" w:hanging="360"/>
      </w:pPr>
      <w:rPr>
        <w:rFonts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4EE443F1"/>
    <w:multiLevelType w:val="hybridMultilevel"/>
    <w:tmpl w:val="9C40E778"/>
    <w:lvl w:ilvl="0" w:tplc="04070011">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5854AC3"/>
    <w:multiLevelType w:val="hybridMultilevel"/>
    <w:tmpl w:val="C5A0FD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CF04C7A"/>
    <w:multiLevelType w:val="hybridMultilevel"/>
    <w:tmpl w:val="EF36B2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C5"/>
    <w:rsid w:val="0000031D"/>
    <w:rsid w:val="003516D9"/>
    <w:rsid w:val="0065694C"/>
    <w:rsid w:val="007335DE"/>
    <w:rsid w:val="00A614C5"/>
    <w:rsid w:val="00A80BC3"/>
    <w:rsid w:val="00EB30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14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14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14C5"/>
  </w:style>
  <w:style w:type="paragraph" w:styleId="Listenabsatz">
    <w:name w:val="List Paragraph"/>
    <w:basedOn w:val="Standard"/>
    <w:uiPriority w:val="34"/>
    <w:qFormat/>
    <w:rsid w:val="00A614C5"/>
    <w:pPr>
      <w:ind w:left="720"/>
      <w:contextualSpacing/>
    </w:pPr>
  </w:style>
  <w:style w:type="paragraph" w:styleId="Fuzeile">
    <w:name w:val="footer"/>
    <w:basedOn w:val="Standard"/>
    <w:link w:val="FuzeileZchn"/>
    <w:uiPriority w:val="99"/>
    <w:unhideWhenUsed/>
    <w:rsid w:val="00A614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14C5"/>
  </w:style>
  <w:style w:type="paragraph" w:styleId="Sprechblasentext">
    <w:name w:val="Balloon Text"/>
    <w:basedOn w:val="Standard"/>
    <w:link w:val="SprechblasentextZchn"/>
    <w:uiPriority w:val="99"/>
    <w:semiHidden/>
    <w:unhideWhenUsed/>
    <w:rsid w:val="00A614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4C5"/>
    <w:rPr>
      <w:rFonts w:ascii="Tahoma" w:hAnsi="Tahoma" w:cs="Tahoma"/>
      <w:sz w:val="16"/>
      <w:szCs w:val="16"/>
    </w:rPr>
  </w:style>
  <w:style w:type="paragraph" w:styleId="Beschriftung">
    <w:name w:val="caption"/>
    <w:basedOn w:val="Standard"/>
    <w:next w:val="Standard"/>
    <w:uiPriority w:val="35"/>
    <w:unhideWhenUsed/>
    <w:qFormat/>
    <w:rsid w:val="00A614C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14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14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14C5"/>
  </w:style>
  <w:style w:type="paragraph" w:styleId="Listenabsatz">
    <w:name w:val="List Paragraph"/>
    <w:basedOn w:val="Standard"/>
    <w:uiPriority w:val="34"/>
    <w:qFormat/>
    <w:rsid w:val="00A614C5"/>
    <w:pPr>
      <w:ind w:left="720"/>
      <w:contextualSpacing/>
    </w:pPr>
  </w:style>
  <w:style w:type="paragraph" w:styleId="Fuzeile">
    <w:name w:val="footer"/>
    <w:basedOn w:val="Standard"/>
    <w:link w:val="FuzeileZchn"/>
    <w:uiPriority w:val="99"/>
    <w:unhideWhenUsed/>
    <w:rsid w:val="00A614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14C5"/>
  </w:style>
  <w:style w:type="paragraph" w:styleId="Sprechblasentext">
    <w:name w:val="Balloon Text"/>
    <w:basedOn w:val="Standard"/>
    <w:link w:val="SprechblasentextZchn"/>
    <w:uiPriority w:val="99"/>
    <w:semiHidden/>
    <w:unhideWhenUsed/>
    <w:rsid w:val="00A614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4C5"/>
    <w:rPr>
      <w:rFonts w:ascii="Tahoma" w:hAnsi="Tahoma" w:cs="Tahoma"/>
      <w:sz w:val="16"/>
      <w:szCs w:val="16"/>
    </w:rPr>
  </w:style>
  <w:style w:type="paragraph" w:styleId="Beschriftung">
    <w:name w:val="caption"/>
    <w:basedOn w:val="Standard"/>
    <w:next w:val="Standard"/>
    <w:uiPriority w:val="35"/>
    <w:unhideWhenUsed/>
    <w:qFormat/>
    <w:rsid w:val="00A614C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9213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2014-11-19T14:41:00Z</cp:lastPrinted>
  <dcterms:created xsi:type="dcterms:W3CDTF">2014-11-19T14:42:00Z</dcterms:created>
  <dcterms:modified xsi:type="dcterms:W3CDTF">2014-11-19T14:42:00Z</dcterms:modified>
</cp:coreProperties>
</file>